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02B" w:rsidRPr="002F1853" w:rsidRDefault="0070502B" w:rsidP="008A757A">
      <w:pPr>
        <w:pStyle w:val="Title"/>
        <w:jc w:val="center"/>
        <w:rPr>
          <w:sz w:val="44"/>
          <w:szCs w:val="44"/>
        </w:rPr>
      </w:pPr>
      <w:r w:rsidRPr="002F1853">
        <w:rPr>
          <w:sz w:val="44"/>
          <w:szCs w:val="44"/>
        </w:rPr>
        <w:t xml:space="preserve">Middle Tennessee </w:t>
      </w:r>
      <w:r w:rsidR="00A07B8D" w:rsidRPr="002F1853">
        <w:rPr>
          <w:sz w:val="44"/>
          <w:szCs w:val="44"/>
        </w:rPr>
        <w:t xml:space="preserve">Consumer </w:t>
      </w:r>
      <w:r w:rsidR="002432C1" w:rsidRPr="002F1853">
        <w:rPr>
          <w:sz w:val="44"/>
          <w:szCs w:val="44"/>
        </w:rPr>
        <w:t>O</w:t>
      </w:r>
      <w:r w:rsidR="00A07B8D" w:rsidRPr="002F1853">
        <w:rPr>
          <w:sz w:val="44"/>
          <w:szCs w:val="44"/>
        </w:rPr>
        <w:t xml:space="preserve">utlook </w:t>
      </w:r>
      <w:r w:rsidR="00140EF4" w:rsidRPr="002F1853">
        <w:rPr>
          <w:sz w:val="44"/>
          <w:szCs w:val="44"/>
        </w:rPr>
        <w:t>I</w:t>
      </w:r>
      <w:r w:rsidR="00A07B8D" w:rsidRPr="002F1853">
        <w:rPr>
          <w:sz w:val="44"/>
          <w:szCs w:val="44"/>
        </w:rPr>
        <w:t>ndex</w:t>
      </w:r>
    </w:p>
    <w:p w:rsidR="0070502B" w:rsidRPr="008A757A" w:rsidRDefault="00F863C8" w:rsidP="000D09DE">
      <w:pPr>
        <w:tabs>
          <w:tab w:val="left" w:pos="0"/>
        </w:tabs>
        <w:jc w:val="center"/>
        <w:rPr>
          <w:rFonts w:asciiTheme="minorHAnsi" w:hAnsiTheme="minorHAnsi"/>
          <w:bCs/>
          <w:color w:val="002060"/>
          <w:sz w:val="36"/>
        </w:rPr>
      </w:pPr>
      <w:r>
        <w:rPr>
          <w:rFonts w:asciiTheme="minorHAnsi" w:hAnsiTheme="minorHAnsi"/>
          <w:bCs/>
          <w:color w:val="002060"/>
          <w:sz w:val="28"/>
        </w:rPr>
        <w:t>September 1</w:t>
      </w:r>
      <w:r w:rsidR="002F566F">
        <w:rPr>
          <w:rFonts w:asciiTheme="minorHAnsi" w:hAnsiTheme="minorHAnsi"/>
          <w:bCs/>
          <w:color w:val="002060"/>
          <w:sz w:val="28"/>
        </w:rPr>
        <w:t>1</w:t>
      </w:r>
      <w:r w:rsidR="00D33CDC">
        <w:rPr>
          <w:rFonts w:asciiTheme="minorHAnsi" w:hAnsiTheme="minorHAnsi"/>
          <w:bCs/>
          <w:color w:val="002060"/>
          <w:sz w:val="28"/>
        </w:rPr>
        <w:t xml:space="preserve">, </w:t>
      </w:r>
      <w:r w:rsidR="00106BB1" w:rsidRPr="008A757A">
        <w:rPr>
          <w:rFonts w:asciiTheme="minorHAnsi" w:hAnsiTheme="minorHAnsi"/>
          <w:bCs/>
          <w:color w:val="002060"/>
          <w:sz w:val="28"/>
        </w:rPr>
        <w:t>20</w:t>
      </w:r>
      <w:r w:rsidR="00FC5846" w:rsidRPr="008A757A">
        <w:rPr>
          <w:rFonts w:asciiTheme="minorHAnsi" w:hAnsiTheme="minorHAnsi"/>
          <w:bCs/>
          <w:color w:val="002060"/>
          <w:sz w:val="28"/>
        </w:rPr>
        <w:t>1</w:t>
      </w:r>
      <w:r w:rsidR="00144092">
        <w:rPr>
          <w:rFonts w:asciiTheme="minorHAnsi" w:hAnsiTheme="minorHAnsi"/>
          <w:bCs/>
          <w:color w:val="002060"/>
          <w:sz w:val="28"/>
        </w:rPr>
        <w:t>4</w:t>
      </w:r>
    </w:p>
    <w:p w:rsidR="0070502B" w:rsidRPr="008A757A" w:rsidRDefault="0070502B">
      <w:pPr>
        <w:rPr>
          <w:rFonts w:asciiTheme="minorHAnsi" w:hAnsiTheme="minorHAnsi"/>
          <w:color w:val="002060"/>
        </w:rPr>
      </w:pPr>
    </w:p>
    <w:p w:rsidR="0070502B" w:rsidRDefault="0070502B">
      <w:pPr>
        <w:jc w:val="center"/>
        <w:rPr>
          <w:rFonts w:asciiTheme="minorHAnsi" w:hAnsiTheme="minorHAnsi"/>
          <w:b/>
          <w:bCs/>
          <w:color w:val="002060"/>
          <w:sz w:val="28"/>
        </w:rPr>
      </w:pPr>
      <w:r w:rsidRPr="008A757A">
        <w:rPr>
          <w:rFonts w:asciiTheme="minorHAnsi" w:hAnsiTheme="minorHAnsi"/>
          <w:b/>
          <w:bCs/>
          <w:color w:val="002060"/>
          <w:sz w:val="28"/>
        </w:rPr>
        <w:t>The Office of Consumer Research</w:t>
      </w:r>
    </w:p>
    <w:p w:rsidR="00976A05" w:rsidRPr="008A757A" w:rsidRDefault="00976A05">
      <w:pPr>
        <w:jc w:val="center"/>
        <w:rPr>
          <w:rFonts w:asciiTheme="minorHAnsi" w:hAnsiTheme="minorHAnsi"/>
          <w:b/>
          <w:bCs/>
          <w:color w:val="002060"/>
          <w:sz w:val="28"/>
        </w:rPr>
      </w:pPr>
      <w:r>
        <w:rPr>
          <w:rFonts w:asciiTheme="minorHAnsi" w:hAnsiTheme="minorHAnsi"/>
          <w:b/>
          <w:bCs/>
          <w:color w:val="002060"/>
          <w:sz w:val="28"/>
        </w:rPr>
        <w:t>Jones College of Business</w:t>
      </w:r>
    </w:p>
    <w:p w:rsidR="0070502B" w:rsidRPr="008A757A" w:rsidRDefault="0070502B">
      <w:pPr>
        <w:jc w:val="center"/>
        <w:rPr>
          <w:rFonts w:asciiTheme="minorHAnsi" w:hAnsiTheme="minorHAnsi"/>
          <w:bCs/>
          <w:color w:val="002060"/>
          <w:sz w:val="22"/>
          <w:szCs w:val="22"/>
        </w:rPr>
      </w:pPr>
      <w:proofErr w:type="gramStart"/>
      <w:r w:rsidRPr="008A757A">
        <w:rPr>
          <w:rFonts w:asciiTheme="minorHAnsi" w:hAnsiTheme="minorHAnsi"/>
          <w:bCs/>
          <w:color w:val="002060"/>
          <w:sz w:val="22"/>
          <w:szCs w:val="22"/>
        </w:rPr>
        <w:t>at</w:t>
      </w:r>
      <w:proofErr w:type="gramEnd"/>
      <w:r w:rsidRPr="008A757A">
        <w:rPr>
          <w:rFonts w:asciiTheme="minorHAnsi" w:hAnsiTheme="minorHAnsi"/>
          <w:bCs/>
          <w:color w:val="002060"/>
          <w:sz w:val="22"/>
          <w:szCs w:val="22"/>
        </w:rPr>
        <w:t xml:space="preserve"> Middle Tennessee State University</w:t>
      </w:r>
    </w:p>
    <w:p w:rsidR="0070502B" w:rsidRPr="008A757A" w:rsidRDefault="0070502B" w:rsidP="008A757A">
      <w:pPr>
        <w:jc w:val="center"/>
        <w:rPr>
          <w:rFonts w:asciiTheme="minorHAnsi" w:hAnsiTheme="minorHAnsi"/>
          <w:bCs/>
          <w:color w:val="002060"/>
          <w:sz w:val="22"/>
          <w:szCs w:val="22"/>
        </w:rPr>
      </w:pPr>
      <w:proofErr w:type="gramStart"/>
      <w:r w:rsidRPr="008A757A">
        <w:rPr>
          <w:rFonts w:asciiTheme="minorHAnsi" w:hAnsiTheme="minorHAnsi"/>
          <w:bCs/>
          <w:color w:val="002060"/>
          <w:sz w:val="22"/>
          <w:szCs w:val="22"/>
        </w:rPr>
        <w:t>Director -- Timothy R. Graeff, Ph.D.</w:t>
      </w:r>
      <w:proofErr w:type="gramEnd"/>
    </w:p>
    <w:p w:rsidR="00135989" w:rsidRPr="008A757A" w:rsidRDefault="00AB5D71" w:rsidP="008A757A">
      <w:pPr>
        <w:jc w:val="center"/>
        <w:rPr>
          <w:rFonts w:asciiTheme="minorHAnsi" w:hAnsiTheme="minorHAnsi"/>
          <w:bCs/>
          <w:i/>
          <w:color w:val="002060"/>
          <w:sz w:val="22"/>
          <w:szCs w:val="22"/>
        </w:rPr>
      </w:pPr>
      <w:hyperlink r:id="rId10" w:history="1">
        <w:r w:rsidR="00FB298B" w:rsidRPr="00FB5698">
          <w:rPr>
            <w:rStyle w:val="Hyperlink"/>
            <w:rFonts w:asciiTheme="minorHAnsi" w:hAnsiTheme="minorHAnsi"/>
            <w:bCs/>
            <w:i/>
            <w:color w:val="002060"/>
            <w:sz w:val="22"/>
            <w:szCs w:val="22"/>
          </w:rPr>
          <w:t>Tim.Graeff@mtsu.edu</w:t>
        </w:r>
      </w:hyperlink>
      <w:proofErr w:type="gramStart"/>
      <w:r w:rsidR="001A1A56" w:rsidRPr="008A757A">
        <w:rPr>
          <w:rStyle w:val="Hyperlink"/>
          <w:rFonts w:asciiTheme="minorHAnsi" w:hAnsiTheme="minorHAnsi"/>
          <w:bCs/>
          <w:color w:val="002060"/>
          <w:sz w:val="22"/>
          <w:szCs w:val="22"/>
        </w:rPr>
        <w:t xml:space="preserve">,  </w:t>
      </w:r>
      <w:r w:rsidR="00FB298B" w:rsidRPr="008A757A">
        <w:rPr>
          <w:rFonts w:asciiTheme="minorHAnsi" w:hAnsiTheme="minorHAnsi"/>
          <w:bCs/>
          <w:color w:val="002060"/>
          <w:sz w:val="22"/>
          <w:szCs w:val="22"/>
        </w:rPr>
        <w:t>615</w:t>
      </w:r>
      <w:proofErr w:type="gramEnd"/>
      <w:r w:rsidR="00FB298B" w:rsidRPr="008A757A">
        <w:rPr>
          <w:rFonts w:asciiTheme="minorHAnsi" w:hAnsiTheme="minorHAnsi"/>
          <w:bCs/>
          <w:color w:val="002060"/>
          <w:sz w:val="22"/>
          <w:szCs w:val="22"/>
        </w:rPr>
        <w:t>-898-5124</w:t>
      </w:r>
    </w:p>
    <w:p w:rsidR="00303944" w:rsidRPr="008A757A" w:rsidRDefault="00303944">
      <w:pPr>
        <w:jc w:val="center"/>
        <w:rPr>
          <w:rFonts w:asciiTheme="minorHAnsi" w:hAnsiTheme="minorHAnsi"/>
          <w:b/>
          <w:bCs/>
          <w:color w:val="002060"/>
        </w:rPr>
      </w:pPr>
    </w:p>
    <w:p w:rsidR="003E1C14" w:rsidRDefault="003E1C14" w:rsidP="007A4C2B">
      <w:pPr>
        <w:jc w:val="center"/>
        <w:rPr>
          <w:rFonts w:asciiTheme="minorHAnsi" w:hAnsiTheme="minorHAnsi"/>
          <w:b/>
          <w:bCs/>
          <w:color w:val="002060"/>
          <w:sz w:val="40"/>
          <w:szCs w:val="40"/>
        </w:rPr>
      </w:pPr>
    </w:p>
    <w:p w:rsidR="00BD7307" w:rsidRPr="00A16353" w:rsidRDefault="008F3A00" w:rsidP="007A4C2B">
      <w:pPr>
        <w:jc w:val="center"/>
        <w:rPr>
          <w:rFonts w:asciiTheme="minorHAnsi" w:hAnsiTheme="minorHAnsi"/>
          <w:bCs/>
        </w:rPr>
      </w:pPr>
      <w:r w:rsidRPr="002F1853">
        <w:rPr>
          <w:rFonts w:asciiTheme="minorHAnsi" w:hAnsiTheme="minorHAnsi"/>
          <w:b/>
          <w:bCs/>
          <w:color w:val="002060"/>
          <w:sz w:val="40"/>
          <w:szCs w:val="40"/>
        </w:rPr>
        <w:t>Consumer</w:t>
      </w:r>
      <w:r w:rsidR="007A4C2B" w:rsidRPr="002F1853">
        <w:rPr>
          <w:rFonts w:asciiTheme="minorHAnsi" w:hAnsiTheme="minorHAnsi"/>
          <w:b/>
          <w:bCs/>
          <w:color w:val="002060"/>
          <w:sz w:val="40"/>
          <w:szCs w:val="40"/>
        </w:rPr>
        <w:t>s</w:t>
      </w:r>
      <w:r w:rsidR="002F1853">
        <w:rPr>
          <w:rFonts w:asciiTheme="minorHAnsi" w:hAnsiTheme="minorHAnsi"/>
          <w:b/>
          <w:bCs/>
          <w:color w:val="002060"/>
          <w:sz w:val="40"/>
          <w:szCs w:val="40"/>
        </w:rPr>
        <w:t>’</w:t>
      </w:r>
      <w:r w:rsidR="00BD42F4" w:rsidRPr="002F1853">
        <w:rPr>
          <w:rFonts w:asciiTheme="minorHAnsi" w:hAnsiTheme="minorHAnsi"/>
          <w:b/>
          <w:bCs/>
          <w:color w:val="002060"/>
          <w:sz w:val="40"/>
          <w:szCs w:val="40"/>
        </w:rPr>
        <w:t xml:space="preserve"> Outlook </w:t>
      </w:r>
      <w:r w:rsidR="007236D9">
        <w:rPr>
          <w:rFonts w:asciiTheme="minorHAnsi" w:hAnsiTheme="minorHAnsi"/>
          <w:b/>
          <w:bCs/>
          <w:color w:val="002060"/>
          <w:sz w:val="40"/>
          <w:szCs w:val="40"/>
        </w:rPr>
        <w:t>Remains Positive</w:t>
      </w:r>
      <w:r w:rsidR="00ED7049" w:rsidRPr="00A16353">
        <w:rPr>
          <w:rFonts w:asciiTheme="minorHAnsi" w:hAnsiTheme="minorHAnsi"/>
          <w:bCs/>
        </w:rPr>
        <w:t xml:space="preserve">    </w:t>
      </w:r>
    </w:p>
    <w:p w:rsidR="009F27C3" w:rsidRDefault="009F27C3" w:rsidP="009821BD">
      <w:pPr>
        <w:pStyle w:val="BodyText"/>
        <w:jc w:val="both"/>
        <w:rPr>
          <w:rFonts w:asciiTheme="minorHAnsi" w:hAnsiTheme="minorHAnsi"/>
          <w:bCs/>
        </w:rPr>
      </w:pPr>
    </w:p>
    <w:p w:rsidR="003E1C14" w:rsidRDefault="003E1C14" w:rsidP="009821BD">
      <w:pPr>
        <w:pStyle w:val="BodyText"/>
        <w:jc w:val="both"/>
        <w:rPr>
          <w:rFonts w:asciiTheme="minorHAnsi" w:hAnsiTheme="minorHAnsi"/>
          <w:bCs/>
        </w:rPr>
      </w:pPr>
    </w:p>
    <w:p w:rsidR="00453C72" w:rsidRDefault="00A0104E" w:rsidP="009821BD">
      <w:pPr>
        <w:pStyle w:val="BodyText"/>
        <w:jc w:val="both"/>
        <w:rPr>
          <w:rFonts w:asciiTheme="minorHAnsi" w:hAnsiTheme="minorHAnsi"/>
          <w:bCs/>
        </w:rPr>
      </w:pPr>
      <w:r>
        <w:rPr>
          <w:rFonts w:asciiTheme="minorHAnsi" w:hAnsiTheme="minorHAnsi"/>
          <w:bCs/>
        </w:rPr>
        <w:t xml:space="preserve">     </w:t>
      </w:r>
      <w:r w:rsidR="00453C72">
        <w:rPr>
          <w:rFonts w:asciiTheme="minorHAnsi" w:hAnsiTheme="minorHAnsi"/>
          <w:bCs/>
        </w:rPr>
        <w:t xml:space="preserve">Overall, local consumers </w:t>
      </w:r>
      <w:r w:rsidR="007236D9">
        <w:rPr>
          <w:rFonts w:asciiTheme="minorHAnsi" w:hAnsiTheme="minorHAnsi"/>
          <w:bCs/>
        </w:rPr>
        <w:t xml:space="preserve">continue to feel good about the </w:t>
      </w:r>
      <w:r w:rsidR="00453C72">
        <w:rPr>
          <w:rFonts w:asciiTheme="minorHAnsi" w:hAnsiTheme="minorHAnsi"/>
          <w:bCs/>
        </w:rPr>
        <w:t>economy.  The overall Middle Tennessee Consumer Outlook Index rose to 2</w:t>
      </w:r>
      <w:r w:rsidR="007236D9">
        <w:rPr>
          <w:rFonts w:asciiTheme="minorHAnsi" w:hAnsiTheme="minorHAnsi"/>
          <w:bCs/>
        </w:rPr>
        <w:t>26</w:t>
      </w:r>
      <w:r w:rsidR="00453C72">
        <w:rPr>
          <w:rFonts w:asciiTheme="minorHAnsi" w:hAnsiTheme="minorHAnsi"/>
          <w:bCs/>
        </w:rPr>
        <w:t xml:space="preserve"> from </w:t>
      </w:r>
      <w:r w:rsidR="007236D9">
        <w:rPr>
          <w:rFonts w:asciiTheme="minorHAnsi" w:hAnsiTheme="minorHAnsi"/>
          <w:bCs/>
        </w:rPr>
        <w:t>203</w:t>
      </w:r>
      <w:r w:rsidR="00453C72">
        <w:rPr>
          <w:rFonts w:asciiTheme="minorHAnsi" w:hAnsiTheme="minorHAnsi"/>
          <w:bCs/>
        </w:rPr>
        <w:t xml:space="preserve"> in </w:t>
      </w:r>
      <w:r w:rsidR="007236D9">
        <w:rPr>
          <w:rFonts w:asciiTheme="minorHAnsi" w:hAnsiTheme="minorHAnsi"/>
          <w:bCs/>
        </w:rPr>
        <w:t>May</w:t>
      </w:r>
      <w:r w:rsidR="00453C72">
        <w:rPr>
          <w:rFonts w:asciiTheme="minorHAnsi" w:hAnsiTheme="minorHAnsi"/>
          <w:bCs/>
        </w:rPr>
        <w:t xml:space="preserve"> of this year.  </w:t>
      </w:r>
    </w:p>
    <w:p w:rsidR="002C318D" w:rsidRDefault="002C318D" w:rsidP="002C318D">
      <w:pPr>
        <w:pStyle w:val="BodyText"/>
        <w:jc w:val="both"/>
        <w:rPr>
          <w:rFonts w:asciiTheme="minorHAnsi" w:hAnsiTheme="minorHAnsi"/>
          <w:bCs/>
        </w:rPr>
      </w:pPr>
    </w:p>
    <w:p w:rsidR="002C318D" w:rsidRDefault="002C318D" w:rsidP="002C318D">
      <w:pPr>
        <w:pStyle w:val="BodyText"/>
        <w:jc w:val="both"/>
        <w:rPr>
          <w:rFonts w:asciiTheme="minorHAnsi" w:hAnsiTheme="minorHAnsi"/>
          <w:bCs/>
        </w:rPr>
      </w:pPr>
      <w:r>
        <w:rPr>
          <w:rFonts w:asciiTheme="minorHAnsi" w:hAnsiTheme="minorHAnsi"/>
          <w:bCs/>
        </w:rPr>
        <w:t xml:space="preserve">     </w:t>
      </w:r>
      <w:r>
        <w:rPr>
          <w:rFonts w:asciiTheme="minorHAnsi" w:hAnsiTheme="minorHAnsi"/>
          <w:bCs/>
        </w:rPr>
        <w:t>Consumers continue to feel increasingly more positive about the current state of the economy. The Current Situation Index continued its steady rise</w:t>
      </w:r>
      <w:r w:rsidR="002F566F">
        <w:rPr>
          <w:rFonts w:asciiTheme="minorHAnsi" w:hAnsiTheme="minorHAnsi"/>
          <w:bCs/>
        </w:rPr>
        <w:t xml:space="preserve">, increasing to </w:t>
      </w:r>
      <w:r>
        <w:rPr>
          <w:rFonts w:asciiTheme="minorHAnsi" w:hAnsiTheme="minorHAnsi"/>
          <w:bCs/>
        </w:rPr>
        <w:t>48 from 38 in May.  The percent of consumers who said that the state of the overall American economy was “good” gained to 21 from 17 in May.  Similarly, the percent who said that the Middle Tennessee economy is “good” rose to 51 from 48.</w:t>
      </w:r>
    </w:p>
    <w:p w:rsidR="00453C72" w:rsidRDefault="00453C72" w:rsidP="009821BD">
      <w:pPr>
        <w:pStyle w:val="BodyText"/>
        <w:jc w:val="both"/>
        <w:rPr>
          <w:rFonts w:asciiTheme="minorHAnsi" w:hAnsiTheme="minorHAnsi"/>
          <w:bCs/>
        </w:rPr>
      </w:pPr>
    </w:p>
    <w:p w:rsidR="001D6128" w:rsidRDefault="001D6128" w:rsidP="001D6128">
      <w:pPr>
        <w:jc w:val="center"/>
        <w:rPr>
          <w:rFonts w:asciiTheme="minorHAnsi" w:hAnsiTheme="minorHAnsi"/>
          <w:b/>
          <w:color w:val="002060"/>
          <w:sz w:val="28"/>
          <w:szCs w:val="28"/>
        </w:rPr>
      </w:pPr>
      <w:r w:rsidRPr="00ED7F2F">
        <w:rPr>
          <w:rFonts w:asciiTheme="minorHAnsi" w:hAnsiTheme="minorHAnsi"/>
          <w:b/>
          <w:color w:val="002060"/>
          <w:sz w:val="28"/>
          <w:szCs w:val="28"/>
        </w:rPr>
        <w:t>The Middle Tennessee Consumer Outlook Index and Components</w:t>
      </w:r>
    </w:p>
    <w:tbl>
      <w:tblPr>
        <w:tblW w:w="874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815"/>
        <w:gridCol w:w="630"/>
        <w:gridCol w:w="630"/>
        <w:gridCol w:w="630"/>
        <w:gridCol w:w="630"/>
        <w:gridCol w:w="630"/>
        <w:gridCol w:w="630"/>
        <w:gridCol w:w="630"/>
        <w:gridCol w:w="630"/>
        <w:gridCol w:w="630"/>
        <w:gridCol w:w="630"/>
        <w:gridCol w:w="630"/>
      </w:tblGrid>
      <w:tr w:rsidR="00F863C8" w:rsidRPr="00A16353" w:rsidTr="00F863C8">
        <w:trPr>
          <w:trHeight w:val="255"/>
        </w:trPr>
        <w:tc>
          <w:tcPr>
            <w:tcW w:w="1815" w:type="dxa"/>
            <w:shd w:val="clear" w:color="auto" w:fill="B8CCE4" w:themeFill="accent1" w:themeFillTint="66"/>
            <w:noWrap/>
            <w:tcMar>
              <w:top w:w="15" w:type="dxa"/>
              <w:left w:w="15" w:type="dxa"/>
              <w:bottom w:w="0" w:type="dxa"/>
              <w:right w:w="15" w:type="dxa"/>
            </w:tcMar>
            <w:vAlign w:val="bottom"/>
          </w:tcPr>
          <w:p w:rsidR="00F863C8" w:rsidRPr="00A16353" w:rsidRDefault="00F863C8" w:rsidP="00D62237">
            <w:pPr>
              <w:rPr>
                <w:rFonts w:asciiTheme="minorHAnsi" w:eastAsia="Arial Unicode MS" w:hAnsiTheme="minorHAnsi"/>
                <w:sz w:val="16"/>
                <w:szCs w:val="16"/>
              </w:rPr>
            </w:pPr>
            <w:r w:rsidRPr="00A16353">
              <w:rPr>
                <w:rFonts w:asciiTheme="minorHAnsi" w:hAnsiTheme="minorHAnsi"/>
              </w:rPr>
              <w:br w:type="column"/>
            </w:r>
          </w:p>
        </w:tc>
        <w:tc>
          <w:tcPr>
            <w:tcW w:w="630" w:type="dxa"/>
            <w:shd w:val="clear" w:color="auto" w:fill="B8CCE4" w:themeFill="accent1" w:themeFillTint="66"/>
          </w:tcPr>
          <w:p w:rsidR="00F863C8" w:rsidRPr="00140EF4" w:rsidRDefault="00F863C8" w:rsidP="00AB5D71">
            <w:pPr>
              <w:jc w:val="center"/>
              <w:rPr>
                <w:rFonts w:asciiTheme="minorHAnsi" w:hAnsiTheme="minorHAnsi"/>
                <w:bCs/>
                <w:sz w:val="24"/>
                <w:szCs w:val="24"/>
              </w:rPr>
            </w:pPr>
            <w:r w:rsidRPr="00140EF4">
              <w:rPr>
                <w:rFonts w:asciiTheme="minorHAnsi" w:hAnsiTheme="minorHAnsi"/>
                <w:bCs/>
                <w:sz w:val="24"/>
                <w:szCs w:val="24"/>
              </w:rPr>
              <w:t>Jan</w:t>
            </w:r>
          </w:p>
          <w:p w:rsidR="00F863C8" w:rsidRPr="00140EF4" w:rsidRDefault="00F863C8" w:rsidP="00AB5D71">
            <w:pPr>
              <w:jc w:val="center"/>
              <w:rPr>
                <w:rFonts w:asciiTheme="minorHAnsi" w:hAnsiTheme="minorHAnsi"/>
                <w:bCs/>
                <w:sz w:val="24"/>
                <w:szCs w:val="24"/>
              </w:rPr>
            </w:pPr>
            <w:r w:rsidRPr="00140EF4">
              <w:rPr>
                <w:rFonts w:asciiTheme="minorHAnsi" w:hAnsiTheme="minorHAnsi"/>
                <w:bCs/>
                <w:sz w:val="24"/>
                <w:szCs w:val="24"/>
              </w:rPr>
              <w:t>‘12</w:t>
            </w:r>
          </w:p>
        </w:tc>
        <w:tc>
          <w:tcPr>
            <w:tcW w:w="630" w:type="dxa"/>
            <w:shd w:val="clear" w:color="auto" w:fill="B8CCE4" w:themeFill="accent1" w:themeFillTint="66"/>
          </w:tcPr>
          <w:p w:rsidR="00F863C8" w:rsidRPr="008C68FB" w:rsidRDefault="00F863C8" w:rsidP="00AB5D71">
            <w:pPr>
              <w:jc w:val="center"/>
              <w:rPr>
                <w:rFonts w:asciiTheme="minorHAnsi" w:hAnsiTheme="minorHAnsi"/>
                <w:bCs/>
                <w:sz w:val="24"/>
                <w:szCs w:val="24"/>
              </w:rPr>
            </w:pPr>
            <w:r w:rsidRPr="008C68FB">
              <w:rPr>
                <w:rFonts w:asciiTheme="minorHAnsi" w:hAnsiTheme="minorHAnsi"/>
                <w:bCs/>
                <w:sz w:val="24"/>
                <w:szCs w:val="24"/>
              </w:rPr>
              <w:t>Apr ‘12</w:t>
            </w:r>
          </w:p>
        </w:tc>
        <w:tc>
          <w:tcPr>
            <w:tcW w:w="630" w:type="dxa"/>
            <w:shd w:val="clear" w:color="auto" w:fill="B8CCE4" w:themeFill="accent1" w:themeFillTint="66"/>
          </w:tcPr>
          <w:p w:rsidR="00F863C8" w:rsidRPr="002C5F55" w:rsidRDefault="00F863C8" w:rsidP="00AB5D71">
            <w:pPr>
              <w:jc w:val="center"/>
              <w:rPr>
                <w:rFonts w:asciiTheme="minorHAnsi" w:hAnsiTheme="minorHAnsi"/>
                <w:bCs/>
                <w:sz w:val="24"/>
                <w:szCs w:val="24"/>
              </w:rPr>
            </w:pPr>
            <w:r w:rsidRPr="002C5F55">
              <w:rPr>
                <w:rFonts w:asciiTheme="minorHAnsi" w:hAnsiTheme="minorHAnsi"/>
                <w:bCs/>
                <w:sz w:val="24"/>
                <w:szCs w:val="24"/>
              </w:rPr>
              <w:t>Sept ‘12</w:t>
            </w:r>
          </w:p>
        </w:tc>
        <w:tc>
          <w:tcPr>
            <w:tcW w:w="630" w:type="dxa"/>
            <w:shd w:val="clear" w:color="auto" w:fill="B8CCE4" w:themeFill="accent1" w:themeFillTint="66"/>
          </w:tcPr>
          <w:p w:rsidR="00F863C8" w:rsidRPr="004C6631" w:rsidRDefault="00F863C8" w:rsidP="00AB5D71">
            <w:pPr>
              <w:jc w:val="center"/>
              <w:rPr>
                <w:rFonts w:asciiTheme="minorHAnsi" w:hAnsiTheme="minorHAnsi"/>
                <w:bCs/>
                <w:sz w:val="24"/>
                <w:szCs w:val="24"/>
              </w:rPr>
            </w:pPr>
            <w:r w:rsidRPr="004C6631">
              <w:rPr>
                <w:rFonts w:asciiTheme="minorHAnsi" w:hAnsiTheme="minorHAnsi"/>
                <w:bCs/>
                <w:sz w:val="24"/>
                <w:szCs w:val="24"/>
              </w:rPr>
              <w:t>Nov ‘12</w:t>
            </w:r>
          </w:p>
        </w:tc>
        <w:tc>
          <w:tcPr>
            <w:tcW w:w="630" w:type="dxa"/>
            <w:shd w:val="clear" w:color="auto" w:fill="B8CCE4" w:themeFill="accent1" w:themeFillTint="66"/>
          </w:tcPr>
          <w:p w:rsidR="00F863C8" w:rsidRPr="0082033A" w:rsidRDefault="00F863C8" w:rsidP="00AB5D71">
            <w:pPr>
              <w:jc w:val="center"/>
              <w:rPr>
                <w:rFonts w:asciiTheme="minorHAnsi" w:hAnsiTheme="minorHAnsi"/>
                <w:bCs/>
                <w:sz w:val="24"/>
                <w:szCs w:val="24"/>
              </w:rPr>
            </w:pPr>
            <w:r w:rsidRPr="0082033A">
              <w:rPr>
                <w:rFonts w:asciiTheme="minorHAnsi" w:hAnsiTheme="minorHAnsi"/>
                <w:bCs/>
                <w:sz w:val="24"/>
                <w:szCs w:val="24"/>
              </w:rPr>
              <w:t>Feb ‘13</w:t>
            </w:r>
          </w:p>
        </w:tc>
        <w:tc>
          <w:tcPr>
            <w:tcW w:w="630" w:type="dxa"/>
            <w:shd w:val="clear" w:color="auto" w:fill="B8CCE4" w:themeFill="accent1" w:themeFillTint="66"/>
          </w:tcPr>
          <w:p w:rsidR="00F863C8" w:rsidRPr="00985C05" w:rsidRDefault="00F863C8" w:rsidP="00AB5D71">
            <w:pPr>
              <w:jc w:val="center"/>
              <w:rPr>
                <w:rFonts w:asciiTheme="minorHAnsi" w:hAnsiTheme="minorHAnsi"/>
                <w:bCs/>
                <w:sz w:val="24"/>
                <w:szCs w:val="24"/>
              </w:rPr>
            </w:pPr>
            <w:r w:rsidRPr="00985C05">
              <w:rPr>
                <w:rFonts w:asciiTheme="minorHAnsi" w:hAnsiTheme="minorHAnsi"/>
                <w:bCs/>
                <w:sz w:val="24"/>
                <w:szCs w:val="24"/>
              </w:rPr>
              <w:t>Apr ‘13</w:t>
            </w:r>
          </w:p>
        </w:tc>
        <w:tc>
          <w:tcPr>
            <w:tcW w:w="630" w:type="dxa"/>
            <w:shd w:val="clear" w:color="auto" w:fill="B8CCE4" w:themeFill="accent1" w:themeFillTint="66"/>
          </w:tcPr>
          <w:p w:rsidR="00F863C8" w:rsidRPr="00692E24" w:rsidRDefault="00F863C8" w:rsidP="00AB5D71">
            <w:pPr>
              <w:jc w:val="center"/>
              <w:rPr>
                <w:rFonts w:asciiTheme="minorHAnsi" w:hAnsiTheme="minorHAnsi"/>
                <w:bCs/>
                <w:sz w:val="24"/>
                <w:szCs w:val="24"/>
              </w:rPr>
            </w:pPr>
            <w:r w:rsidRPr="00692E24">
              <w:rPr>
                <w:rFonts w:asciiTheme="minorHAnsi" w:hAnsiTheme="minorHAnsi"/>
                <w:bCs/>
                <w:sz w:val="24"/>
                <w:szCs w:val="24"/>
              </w:rPr>
              <w:t>Sept</w:t>
            </w:r>
          </w:p>
          <w:p w:rsidR="00F863C8" w:rsidRPr="00692E24" w:rsidRDefault="00F863C8" w:rsidP="00AB5D71">
            <w:pPr>
              <w:jc w:val="center"/>
              <w:rPr>
                <w:rFonts w:asciiTheme="minorHAnsi" w:hAnsiTheme="minorHAnsi"/>
                <w:bCs/>
                <w:sz w:val="24"/>
                <w:szCs w:val="24"/>
              </w:rPr>
            </w:pPr>
            <w:r w:rsidRPr="00692E24">
              <w:rPr>
                <w:rFonts w:asciiTheme="minorHAnsi" w:hAnsiTheme="minorHAnsi"/>
                <w:bCs/>
                <w:sz w:val="24"/>
                <w:szCs w:val="24"/>
              </w:rPr>
              <w:t>‘13</w:t>
            </w:r>
          </w:p>
        </w:tc>
        <w:tc>
          <w:tcPr>
            <w:tcW w:w="630" w:type="dxa"/>
            <w:shd w:val="clear" w:color="auto" w:fill="B8CCE4" w:themeFill="accent1" w:themeFillTint="66"/>
          </w:tcPr>
          <w:p w:rsidR="00F863C8" w:rsidRPr="00144092" w:rsidRDefault="00F863C8" w:rsidP="00AB5D71">
            <w:pPr>
              <w:jc w:val="center"/>
              <w:rPr>
                <w:rFonts w:asciiTheme="minorHAnsi" w:hAnsiTheme="minorHAnsi"/>
                <w:bCs/>
                <w:sz w:val="24"/>
                <w:szCs w:val="24"/>
              </w:rPr>
            </w:pPr>
            <w:r w:rsidRPr="00144092">
              <w:rPr>
                <w:rFonts w:asciiTheme="minorHAnsi" w:hAnsiTheme="minorHAnsi"/>
                <w:bCs/>
                <w:sz w:val="24"/>
                <w:szCs w:val="24"/>
              </w:rPr>
              <w:t>Dec ‘13</w:t>
            </w:r>
          </w:p>
        </w:tc>
        <w:tc>
          <w:tcPr>
            <w:tcW w:w="630" w:type="dxa"/>
            <w:shd w:val="clear" w:color="auto" w:fill="B8CCE4" w:themeFill="accent1" w:themeFillTint="66"/>
          </w:tcPr>
          <w:p w:rsidR="00F863C8" w:rsidRPr="00D33CDC" w:rsidRDefault="00F863C8" w:rsidP="00AB5D71">
            <w:pPr>
              <w:jc w:val="center"/>
              <w:rPr>
                <w:rFonts w:asciiTheme="minorHAnsi" w:hAnsiTheme="minorHAnsi"/>
                <w:bCs/>
                <w:sz w:val="24"/>
                <w:szCs w:val="24"/>
              </w:rPr>
            </w:pPr>
            <w:r w:rsidRPr="00D33CDC">
              <w:rPr>
                <w:rFonts w:asciiTheme="minorHAnsi" w:hAnsiTheme="minorHAnsi"/>
                <w:bCs/>
                <w:sz w:val="24"/>
                <w:szCs w:val="24"/>
              </w:rPr>
              <w:t>Feb ‘14</w:t>
            </w:r>
          </w:p>
        </w:tc>
        <w:tc>
          <w:tcPr>
            <w:tcW w:w="630" w:type="dxa"/>
            <w:shd w:val="clear" w:color="auto" w:fill="B8CCE4" w:themeFill="accent1" w:themeFillTint="66"/>
          </w:tcPr>
          <w:p w:rsidR="00F863C8" w:rsidRPr="00F863C8" w:rsidRDefault="00F863C8" w:rsidP="00AB5D71">
            <w:pPr>
              <w:jc w:val="center"/>
              <w:rPr>
                <w:rFonts w:asciiTheme="minorHAnsi" w:hAnsiTheme="minorHAnsi"/>
                <w:bCs/>
                <w:sz w:val="24"/>
                <w:szCs w:val="24"/>
              </w:rPr>
            </w:pPr>
            <w:r w:rsidRPr="00F863C8">
              <w:rPr>
                <w:rFonts w:asciiTheme="minorHAnsi" w:hAnsiTheme="minorHAnsi"/>
                <w:bCs/>
                <w:sz w:val="24"/>
                <w:szCs w:val="24"/>
              </w:rPr>
              <w:t>May ‘14</w:t>
            </w:r>
          </w:p>
        </w:tc>
        <w:tc>
          <w:tcPr>
            <w:tcW w:w="630" w:type="dxa"/>
            <w:shd w:val="clear" w:color="auto" w:fill="B8CCE4" w:themeFill="accent1" w:themeFillTint="66"/>
          </w:tcPr>
          <w:p w:rsidR="00F863C8" w:rsidRPr="00F863C8" w:rsidRDefault="00F863C8" w:rsidP="00F863C8">
            <w:pPr>
              <w:jc w:val="center"/>
              <w:rPr>
                <w:rFonts w:asciiTheme="minorHAnsi" w:hAnsiTheme="minorHAnsi"/>
                <w:b/>
                <w:bCs/>
                <w:sz w:val="24"/>
                <w:szCs w:val="24"/>
              </w:rPr>
            </w:pPr>
            <w:r w:rsidRPr="00F863C8">
              <w:rPr>
                <w:rFonts w:asciiTheme="minorHAnsi" w:hAnsiTheme="minorHAnsi"/>
                <w:b/>
                <w:bCs/>
                <w:sz w:val="24"/>
                <w:szCs w:val="24"/>
              </w:rPr>
              <w:t>Sep ‘14</w:t>
            </w:r>
          </w:p>
        </w:tc>
      </w:tr>
      <w:tr w:rsidR="00F863C8" w:rsidRPr="00A16353" w:rsidTr="00F863C8">
        <w:trPr>
          <w:trHeight w:val="255"/>
        </w:trPr>
        <w:tc>
          <w:tcPr>
            <w:tcW w:w="1815" w:type="dxa"/>
            <w:noWrap/>
            <w:tcMar>
              <w:top w:w="15" w:type="dxa"/>
              <w:left w:w="15" w:type="dxa"/>
              <w:bottom w:w="0" w:type="dxa"/>
              <w:right w:w="15" w:type="dxa"/>
            </w:tcMar>
            <w:vAlign w:val="center"/>
          </w:tcPr>
          <w:p w:rsidR="00F863C8" w:rsidRPr="00A16353" w:rsidRDefault="00F863C8" w:rsidP="00D62237">
            <w:pPr>
              <w:rPr>
                <w:rFonts w:asciiTheme="minorHAnsi" w:eastAsia="Arial Unicode MS" w:hAnsiTheme="minorHAnsi"/>
                <w:sz w:val="16"/>
                <w:szCs w:val="16"/>
              </w:rPr>
            </w:pPr>
            <w:r>
              <w:rPr>
                <w:rFonts w:asciiTheme="minorHAnsi" w:eastAsia="Arial Unicode MS" w:hAnsiTheme="minorHAnsi"/>
                <w:sz w:val="16"/>
                <w:szCs w:val="16"/>
              </w:rPr>
              <w:t>Overall Outlook Index</w:t>
            </w:r>
          </w:p>
        </w:tc>
        <w:tc>
          <w:tcPr>
            <w:tcW w:w="630" w:type="dxa"/>
          </w:tcPr>
          <w:p w:rsidR="00F863C8" w:rsidRPr="00140EF4" w:rsidRDefault="00F863C8" w:rsidP="00AB5D71">
            <w:pPr>
              <w:jc w:val="center"/>
              <w:rPr>
                <w:rFonts w:asciiTheme="minorHAnsi" w:hAnsiTheme="minorHAnsi"/>
                <w:bCs/>
                <w:sz w:val="24"/>
                <w:szCs w:val="24"/>
              </w:rPr>
            </w:pPr>
            <w:r w:rsidRPr="00140EF4">
              <w:rPr>
                <w:rFonts w:asciiTheme="minorHAnsi" w:hAnsiTheme="minorHAnsi"/>
                <w:bCs/>
                <w:sz w:val="24"/>
                <w:szCs w:val="24"/>
              </w:rPr>
              <w:t>151</w:t>
            </w:r>
          </w:p>
        </w:tc>
        <w:tc>
          <w:tcPr>
            <w:tcW w:w="630" w:type="dxa"/>
          </w:tcPr>
          <w:p w:rsidR="00F863C8" w:rsidRPr="008C68FB" w:rsidRDefault="00F863C8" w:rsidP="00AB5D71">
            <w:pPr>
              <w:jc w:val="center"/>
              <w:rPr>
                <w:rFonts w:asciiTheme="minorHAnsi" w:hAnsiTheme="minorHAnsi"/>
                <w:bCs/>
                <w:sz w:val="24"/>
                <w:szCs w:val="24"/>
              </w:rPr>
            </w:pPr>
            <w:r w:rsidRPr="008C68FB">
              <w:rPr>
                <w:rFonts w:asciiTheme="minorHAnsi" w:hAnsiTheme="minorHAnsi"/>
                <w:bCs/>
                <w:sz w:val="24"/>
                <w:szCs w:val="24"/>
              </w:rPr>
              <w:t>184</w:t>
            </w:r>
          </w:p>
        </w:tc>
        <w:tc>
          <w:tcPr>
            <w:tcW w:w="630" w:type="dxa"/>
          </w:tcPr>
          <w:p w:rsidR="00F863C8" w:rsidRPr="002C5F55" w:rsidRDefault="00F863C8" w:rsidP="00AB5D71">
            <w:pPr>
              <w:jc w:val="center"/>
              <w:rPr>
                <w:rFonts w:asciiTheme="minorHAnsi" w:hAnsiTheme="minorHAnsi"/>
                <w:bCs/>
                <w:sz w:val="24"/>
                <w:szCs w:val="24"/>
              </w:rPr>
            </w:pPr>
            <w:r w:rsidRPr="002C5F55">
              <w:rPr>
                <w:rFonts w:asciiTheme="minorHAnsi" w:hAnsiTheme="minorHAnsi"/>
                <w:bCs/>
                <w:sz w:val="24"/>
                <w:szCs w:val="24"/>
              </w:rPr>
              <w:t>178</w:t>
            </w:r>
          </w:p>
        </w:tc>
        <w:tc>
          <w:tcPr>
            <w:tcW w:w="630" w:type="dxa"/>
          </w:tcPr>
          <w:p w:rsidR="00F863C8" w:rsidRPr="004C6631" w:rsidRDefault="00F863C8" w:rsidP="00AB5D71">
            <w:pPr>
              <w:jc w:val="center"/>
              <w:rPr>
                <w:rFonts w:asciiTheme="minorHAnsi" w:hAnsiTheme="minorHAnsi"/>
                <w:bCs/>
                <w:sz w:val="24"/>
                <w:szCs w:val="24"/>
              </w:rPr>
            </w:pPr>
            <w:r w:rsidRPr="004C6631">
              <w:rPr>
                <w:rFonts w:asciiTheme="minorHAnsi" w:hAnsiTheme="minorHAnsi"/>
                <w:bCs/>
                <w:sz w:val="24"/>
                <w:szCs w:val="24"/>
              </w:rPr>
              <w:t>106</w:t>
            </w:r>
          </w:p>
        </w:tc>
        <w:tc>
          <w:tcPr>
            <w:tcW w:w="630" w:type="dxa"/>
          </w:tcPr>
          <w:p w:rsidR="00F863C8" w:rsidRPr="0082033A" w:rsidRDefault="00F863C8" w:rsidP="00AB5D71">
            <w:pPr>
              <w:jc w:val="center"/>
              <w:rPr>
                <w:rFonts w:asciiTheme="minorHAnsi" w:hAnsiTheme="minorHAnsi"/>
                <w:bCs/>
                <w:sz w:val="24"/>
                <w:szCs w:val="24"/>
              </w:rPr>
            </w:pPr>
            <w:r w:rsidRPr="0082033A">
              <w:rPr>
                <w:rFonts w:asciiTheme="minorHAnsi" w:hAnsiTheme="minorHAnsi"/>
                <w:bCs/>
                <w:sz w:val="24"/>
                <w:szCs w:val="24"/>
              </w:rPr>
              <w:t>144</w:t>
            </w:r>
          </w:p>
        </w:tc>
        <w:tc>
          <w:tcPr>
            <w:tcW w:w="630" w:type="dxa"/>
          </w:tcPr>
          <w:p w:rsidR="00F863C8" w:rsidRPr="00985C05" w:rsidRDefault="00F863C8" w:rsidP="00AB5D71">
            <w:pPr>
              <w:jc w:val="center"/>
              <w:rPr>
                <w:rFonts w:asciiTheme="minorHAnsi" w:hAnsiTheme="minorHAnsi"/>
                <w:bCs/>
                <w:sz w:val="24"/>
                <w:szCs w:val="24"/>
              </w:rPr>
            </w:pPr>
            <w:r w:rsidRPr="00985C05">
              <w:rPr>
                <w:rFonts w:asciiTheme="minorHAnsi" w:hAnsiTheme="minorHAnsi"/>
                <w:bCs/>
                <w:sz w:val="24"/>
                <w:szCs w:val="24"/>
              </w:rPr>
              <w:t>193</w:t>
            </w:r>
          </w:p>
        </w:tc>
        <w:tc>
          <w:tcPr>
            <w:tcW w:w="630" w:type="dxa"/>
          </w:tcPr>
          <w:p w:rsidR="00F863C8" w:rsidRPr="00692E24" w:rsidRDefault="00F863C8" w:rsidP="00AB5D71">
            <w:pPr>
              <w:jc w:val="center"/>
              <w:rPr>
                <w:rFonts w:asciiTheme="minorHAnsi" w:hAnsiTheme="minorHAnsi"/>
                <w:bCs/>
                <w:sz w:val="24"/>
                <w:szCs w:val="24"/>
              </w:rPr>
            </w:pPr>
            <w:r w:rsidRPr="00692E24">
              <w:rPr>
                <w:rFonts w:asciiTheme="minorHAnsi" w:hAnsiTheme="minorHAnsi"/>
                <w:bCs/>
                <w:sz w:val="24"/>
                <w:szCs w:val="24"/>
              </w:rPr>
              <w:t>199</w:t>
            </w:r>
          </w:p>
        </w:tc>
        <w:tc>
          <w:tcPr>
            <w:tcW w:w="630" w:type="dxa"/>
          </w:tcPr>
          <w:p w:rsidR="00F863C8" w:rsidRPr="00144092" w:rsidRDefault="00F863C8" w:rsidP="00AB5D71">
            <w:pPr>
              <w:jc w:val="center"/>
              <w:rPr>
                <w:rFonts w:asciiTheme="minorHAnsi" w:hAnsiTheme="minorHAnsi"/>
                <w:bCs/>
                <w:sz w:val="24"/>
                <w:szCs w:val="24"/>
              </w:rPr>
            </w:pPr>
            <w:r w:rsidRPr="00144092">
              <w:rPr>
                <w:rFonts w:asciiTheme="minorHAnsi" w:hAnsiTheme="minorHAnsi"/>
                <w:bCs/>
                <w:sz w:val="24"/>
                <w:szCs w:val="24"/>
              </w:rPr>
              <w:t>122</w:t>
            </w:r>
          </w:p>
        </w:tc>
        <w:tc>
          <w:tcPr>
            <w:tcW w:w="630" w:type="dxa"/>
          </w:tcPr>
          <w:p w:rsidR="00F863C8" w:rsidRPr="00D33CDC" w:rsidRDefault="00F863C8" w:rsidP="00AB5D71">
            <w:pPr>
              <w:jc w:val="center"/>
              <w:rPr>
                <w:rFonts w:asciiTheme="minorHAnsi" w:hAnsiTheme="minorHAnsi"/>
                <w:bCs/>
                <w:sz w:val="24"/>
                <w:szCs w:val="24"/>
              </w:rPr>
            </w:pPr>
            <w:r w:rsidRPr="00D33CDC">
              <w:rPr>
                <w:rFonts w:asciiTheme="minorHAnsi" w:hAnsiTheme="minorHAnsi"/>
                <w:bCs/>
                <w:sz w:val="24"/>
                <w:szCs w:val="24"/>
              </w:rPr>
              <w:t>179</w:t>
            </w:r>
          </w:p>
        </w:tc>
        <w:tc>
          <w:tcPr>
            <w:tcW w:w="630" w:type="dxa"/>
          </w:tcPr>
          <w:p w:rsidR="00F863C8" w:rsidRPr="00F863C8" w:rsidRDefault="00F863C8" w:rsidP="00F863C8">
            <w:pPr>
              <w:jc w:val="center"/>
              <w:rPr>
                <w:rFonts w:asciiTheme="minorHAnsi" w:hAnsiTheme="minorHAnsi"/>
                <w:bCs/>
                <w:sz w:val="24"/>
                <w:szCs w:val="24"/>
              </w:rPr>
            </w:pPr>
            <w:r w:rsidRPr="00F863C8">
              <w:rPr>
                <w:rFonts w:asciiTheme="minorHAnsi" w:hAnsiTheme="minorHAnsi"/>
                <w:bCs/>
                <w:sz w:val="24"/>
                <w:szCs w:val="24"/>
              </w:rPr>
              <w:t>203</w:t>
            </w:r>
          </w:p>
        </w:tc>
        <w:tc>
          <w:tcPr>
            <w:tcW w:w="630" w:type="dxa"/>
          </w:tcPr>
          <w:p w:rsidR="00F863C8" w:rsidRPr="00F863C8" w:rsidRDefault="009804AC" w:rsidP="009804AC">
            <w:pPr>
              <w:jc w:val="center"/>
              <w:rPr>
                <w:rFonts w:asciiTheme="minorHAnsi" w:hAnsiTheme="minorHAnsi"/>
                <w:b/>
                <w:bCs/>
                <w:sz w:val="24"/>
                <w:szCs w:val="24"/>
              </w:rPr>
            </w:pPr>
            <w:r>
              <w:rPr>
                <w:rFonts w:asciiTheme="minorHAnsi" w:hAnsiTheme="minorHAnsi"/>
                <w:b/>
                <w:bCs/>
                <w:sz w:val="24"/>
                <w:szCs w:val="24"/>
              </w:rPr>
              <w:t>226</w:t>
            </w:r>
            <w:r w:rsidR="00F863C8" w:rsidRPr="00F863C8">
              <w:rPr>
                <w:rStyle w:val="FootnoteReference"/>
                <w:rFonts w:asciiTheme="minorHAnsi" w:hAnsiTheme="minorHAnsi"/>
                <w:sz w:val="24"/>
                <w:szCs w:val="24"/>
              </w:rPr>
              <w:footnoteReference w:id="1"/>
            </w:r>
          </w:p>
        </w:tc>
      </w:tr>
      <w:tr w:rsidR="00F863C8" w:rsidRPr="00A16353" w:rsidTr="00F863C8">
        <w:trPr>
          <w:trHeight w:val="255"/>
        </w:trPr>
        <w:tc>
          <w:tcPr>
            <w:tcW w:w="1815" w:type="dxa"/>
            <w:noWrap/>
            <w:tcMar>
              <w:top w:w="15" w:type="dxa"/>
              <w:left w:w="15" w:type="dxa"/>
              <w:bottom w:w="0" w:type="dxa"/>
              <w:right w:w="15" w:type="dxa"/>
            </w:tcMar>
            <w:vAlign w:val="center"/>
          </w:tcPr>
          <w:p w:rsidR="00F863C8" w:rsidRPr="00A16353" w:rsidRDefault="00F863C8" w:rsidP="00D62237">
            <w:pPr>
              <w:rPr>
                <w:rFonts w:asciiTheme="minorHAnsi" w:eastAsia="Arial Unicode MS" w:hAnsiTheme="minorHAnsi"/>
                <w:sz w:val="16"/>
                <w:szCs w:val="16"/>
              </w:rPr>
            </w:pPr>
            <w:r w:rsidRPr="00A16353">
              <w:rPr>
                <w:rFonts w:asciiTheme="minorHAnsi" w:hAnsiTheme="minorHAnsi"/>
                <w:sz w:val="16"/>
                <w:szCs w:val="16"/>
              </w:rPr>
              <w:t>Current Situation Index</w:t>
            </w:r>
          </w:p>
        </w:tc>
        <w:tc>
          <w:tcPr>
            <w:tcW w:w="630" w:type="dxa"/>
          </w:tcPr>
          <w:p w:rsidR="00F863C8" w:rsidRPr="00140EF4" w:rsidRDefault="00F863C8" w:rsidP="00AB5D71">
            <w:pPr>
              <w:jc w:val="center"/>
              <w:rPr>
                <w:rFonts w:asciiTheme="minorHAnsi" w:hAnsiTheme="minorHAnsi"/>
                <w:bCs/>
                <w:sz w:val="24"/>
                <w:szCs w:val="24"/>
              </w:rPr>
            </w:pPr>
            <w:r w:rsidRPr="00140EF4">
              <w:rPr>
                <w:rFonts w:asciiTheme="minorHAnsi" w:hAnsiTheme="minorHAnsi"/>
                <w:bCs/>
                <w:sz w:val="24"/>
                <w:szCs w:val="24"/>
              </w:rPr>
              <w:t>-55</w:t>
            </w:r>
          </w:p>
        </w:tc>
        <w:tc>
          <w:tcPr>
            <w:tcW w:w="630" w:type="dxa"/>
          </w:tcPr>
          <w:p w:rsidR="00F863C8" w:rsidRPr="008C68FB" w:rsidRDefault="00F863C8" w:rsidP="00AB5D71">
            <w:pPr>
              <w:jc w:val="center"/>
              <w:rPr>
                <w:rFonts w:asciiTheme="minorHAnsi" w:hAnsiTheme="minorHAnsi"/>
                <w:bCs/>
                <w:sz w:val="24"/>
                <w:szCs w:val="24"/>
              </w:rPr>
            </w:pPr>
            <w:r w:rsidRPr="008C68FB">
              <w:rPr>
                <w:rFonts w:asciiTheme="minorHAnsi" w:hAnsiTheme="minorHAnsi"/>
                <w:bCs/>
                <w:sz w:val="24"/>
                <w:szCs w:val="24"/>
              </w:rPr>
              <w:t>-24</w:t>
            </w:r>
          </w:p>
        </w:tc>
        <w:tc>
          <w:tcPr>
            <w:tcW w:w="630" w:type="dxa"/>
          </w:tcPr>
          <w:p w:rsidR="00F863C8" w:rsidRPr="002C5F55" w:rsidRDefault="00F863C8" w:rsidP="00AB5D71">
            <w:pPr>
              <w:jc w:val="center"/>
              <w:rPr>
                <w:rFonts w:asciiTheme="minorHAnsi" w:hAnsiTheme="minorHAnsi"/>
                <w:bCs/>
                <w:sz w:val="24"/>
                <w:szCs w:val="24"/>
              </w:rPr>
            </w:pPr>
            <w:r w:rsidRPr="002C5F55">
              <w:rPr>
                <w:rFonts w:asciiTheme="minorHAnsi" w:hAnsiTheme="minorHAnsi"/>
                <w:bCs/>
                <w:sz w:val="24"/>
                <w:szCs w:val="24"/>
              </w:rPr>
              <w:t>-26</w:t>
            </w:r>
          </w:p>
        </w:tc>
        <w:tc>
          <w:tcPr>
            <w:tcW w:w="630" w:type="dxa"/>
          </w:tcPr>
          <w:p w:rsidR="00F863C8" w:rsidRPr="004C6631" w:rsidRDefault="00F863C8" w:rsidP="00AB5D71">
            <w:pPr>
              <w:jc w:val="center"/>
              <w:rPr>
                <w:rFonts w:asciiTheme="minorHAnsi" w:hAnsiTheme="minorHAnsi"/>
                <w:bCs/>
                <w:sz w:val="24"/>
                <w:szCs w:val="24"/>
              </w:rPr>
            </w:pPr>
            <w:r w:rsidRPr="004C6631">
              <w:rPr>
                <w:rFonts w:asciiTheme="minorHAnsi" w:hAnsiTheme="minorHAnsi"/>
                <w:bCs/>
                <w:sz w:val="24"/>
                <w:szCs w:val="24"/>
              </w:rPr>
              <w:t>-22</w:t>
            </w:r>
          </w:p>
        </w:tc>
        <w:tc>
          <w:tcPr>
            <w:tcW w:w="630" w:type="dxa"/>
          </w:tcPr>
          <w:p w:rsidR="00F863C8" w:rsidRPr="0082033A" w:rsidRDefault="00F863C8" w:rsidP="00AB5D71">
            <w:pPr>
              <w:jc w:val="center"/>
              <w:rPr>
                <w:rFonts w:asciiTheme="minorHAnsi" w:hAnsiTheme="minorHAnsi"/>
                <w:bCs/>
                <w:sz w:val="24"/>
                <w:szCs w:val="24"/>
              </w:rPr>
            </w:pPr>
            <w:r w:rsidRPr="0082033A">
              <w:rPr>
                <w:rFonts w:asciiTheme="minorHAnsi" w:hAnsiTheme="minorHAnsi"/>
                <w:bCs/>
                <w:sz w:val="24"/>
                <w:szCs w:val="24"/>
              </w:rPr>
              <w:t>-16</w:t>
            </w:r>
          </w:p>
        </w:tc>
        <w:tc>
          <w:tcPr>
            <w:tcW w:w="630" w:type="dxa"/>
          </w:tcPr>
          <w:p w:rsidR="00F863C8" w:rsidRPr="00985C05" w:rsidRDefault="00F863C8" w:rsidP="00AB5D71">
            <w:pPr>
              <w:jc w:val="center"/>
              <w:rPr>
                <w:rFonts w:asciiTheme="minorHAnsi" w:hAnsiTheme="minorHAnsi"/>
                <w:bCs/>
                <w:sz w:val="24"/>
                <w:szCs w:val="24"/>
              </w:rPr>
            </w:pPr>
            <w:r w:rsidRPr="00985C05">
              <w:rPr>
                <w:rFonts w:asciiTheme="minorHAnsi" w:hAnsiTheme="minorHAnsi"/>
                <w:bCs/>
                <w:sz w:val="24"/>
                <w:szCs w:val="24"/>
              </w:rPr>
              <w:t>1</w:t>
            </w:r>
          </w:p>
        </w:tc>
        <w:tc>
          <w:tcPr>
            <w:tcW w:w="630" w:type="dxa"/>
          </w:tcPr>
          <w:p w:rsidR="00F863C8" w:rsidRPr="00692E24" w:rsidRDefault="00F863C8" w:rsidP="00AB5D71">
            <w:pPr>
              <w:jc w:val="center"/>
              <w:rPr>
                <w:rFonts w:asciiTheme="minorHAnsi" w:hAnsiTheme="minorHAnsi"/>
                <w:bCs/>
                <w:sz w:val="24"/>
                <w:szCs w:val="24"/>
              </w:rPr>
            </w:pPr>
            <w:r w:rsidRPr="00692E24">
              <w:rPr>
                <w:rFonts w:asciiTheme="minorHAnsi" w:hAnsiTheme="minorHAnsi"/>
                <w:bCs/>
                <w:sz w:val="24"/>
                <w:szCs w:val="24"/>
              </w:rPr>
              <w:t>18</w:t>
            </w:r>
          </w:p>
        </w:tc>
        <w:tc>
          <w:tcPr>
            <w:tcW w:w="630" w:type="dxa"/>
          </w:tcPr>
          <w:p w:rsidR="00F863C8" w:rsidRPr="00144092" w:rsidRDefault="00F863C8" w:rsidP="00AB5D71">
            <w:pPr>
              <w:jc w:val="center"/>
              <w:rPr>
                <w:rFonts w:asciiTheme="minorHAnsi" w:hAnsiTheme="minorHAnsi"/>
                <w:bCs/>
                <w:sz w:val="24"/>
                <w:szCs w:val="24"/>
              </w:rPr>
            </w:pPr>
            <w:r w:rsidRPr="00144092">
              <w:rPr>
                <w:rFonts w:asciiTheme="minorHAnsi" w:hAnsiTheme="minorHAnsi"/>
                <w:bCs/>
                <w:sz w:val="24"/>
                <w:szCs w:val="24"/>
              </w:rPr>
              <w:t>3</w:t>
            </w:r>
          </w:p>
        </w:tc>
        <w:tc>
          <w:tcPr>
            <w:tcW w:w="630" w:type="dxa"/>
          </w:tcPr>
          <w:p w:rsidR="00F863C8" w:rsidRPr="00D33CDC" w:rsidRDefault="00F863C8" w:rsidP="00AB5D71">
            <w:pPr>
              <w:jc w:val="center"/>
              <w:rPr>
                <w:rFonts w:asciiTheme="minorHAnsi" w:hAnsiTheme="minorHAnsi"/>
                <w:bCs/>
                <w:sz w:val="24"/>
                <w:szCs w:val="24"/>
              </w:rPr>
            </w:pPr>
            <w:r w:rsidRPr="00D33CDC">
              <w:rPr>
                <w:rFonts w:asciiTheme="minorHAnsi" w:hAnsiTheme="minorHAnsi"/>
                <w:bCs/>
                <w:sz w:val="24"/>
                <w:szCs w:val="24"/>
              </w:rPr>
              <w:t>23</w:t>
            </w:r>
          </w:p>
        </w:tc>
        <w:tc>
          <w:tcPr>
            <w:tcW w:w="630" w:type="dxa"/>
          </w:tcPr>
          <w:p w:rsidR="00F863C8" w:rsidRPr="00F863C8" w:rsidRDefault="00F863C8" w:rsidP="00AB5D71">
            <w:pPr>
              <w:jc w:val="center"/>
              <w:rPr>
                <w:rFonts w:asciiTheme="minorHAnsi" w:hAnsiTheme="minorHAnsi"/>
                <w:bCs/>
                <w:sz w:val="24"/>
                <w:szCs w:val="24"/>
              </w:rPr>
            </w:pPr>
            <w:r w:rsidRPr="00F863C8">
              <w:rPr>
                <w:rFonts w:asciiTheme="minorHAnsi" w:hAnsiTheme="minorHAnsi"/>
                <w:bCs/>
                <w:sz w:val="24"/>
                <w:szCs w:val="24"/>
              </w:rPr>
              <w:t>38</w:t>
            </w:r>
          </w:p>
        </w:tc>
        <w:tc>
          <w:tcPr>
            <w:tcW w:w="630" w:type="dxa"/>
          </w:tcPr>
          <w:p w:rsidR="00F863C8" w:rsidRPr="00F863C8" w:rsidRDefault="009804AC" w:rsidP="009804AC">
            <w:pPr>
              <w:jc w:val="center"/>
              <w:rPr>
                <w:rFonts w:asciiTheme="minorHAnsi" w:hAnsiTheme="minorHAnsi"/>
                <w:b/>
                <w:bCs/>
                <w:sz w:val="24"/>
                <w:szCs w:val="24"/>
              </w:rPr>
            </w:pPr>
            <w:r>
              <w:rPr>
                <w:rFonts w:asciiTheme="minorHAnsi" w:hAnsiTheme="minorHAnsi"/>
                <w:b/>
                <w:bCs/>
                <w:sz w:val="24"/>
                <w:szCs w:val="24"/>
              </w:rPr>
              <w:t>48</w:t>
            </w:r>
          </w:p>
        </w:tc>
      </w:tr>
      <w:tr w:rsidR="00F863C8" w:rsidRPr="00A16353" w:rsidTr="00F863C8">
        <w:trPr>
          <w:trHeight w:val="255"/>
        </w:trPr>
        <w:tc>
          <w:tcPr>
            <w:tcW w:w="1815" w:type="dxa"/>
            <w:noWrap/>
            <w:tcMar>
              <w:top w:w="15" w:type="dxa"/>
              <w:left w:w="15" w:type="dxa"/>
              <w:bottom w:w="0" w:type="dxa"/>
              <w:right w:w="15" w:type="dxa"/>
            </w:tcMar>
            <w:vAlign w:val="center"/>
          </w:tcPr>
          <w:p w:rsidR="00F863C8" w:rsidRPr="00A16353" w:rsidRDefault="00F863C8" w:rsidP="00D62237">
            <w:pPr>
              <w:rPr>
                <w:rFonts w:asciiTheme="minorHAnsi" w:eastAsia="Arial Unicode MS" w:hAnsiTheme="minorHAnsi"/>
                <w:sz w:val="16"/>
                <w:szCs w:val="16"/>
              </w:rPr>
            </w:pPr>
            <w:r w:rsidRPr="00A16353">
              <w:rPr>
                <w:rFonts w:asciiTheme="minorHAnsi" w:hAnsiTheme="minorHAnsi"/>
                <w:sz w:val="16"/>
                <w:szCs w:val="16"/>
              </w:rPr>
              <w:t>Future Expectations Index</w:t>
            </w:r>
          </w:p>
        </w:tc>
        <w:tc>
          <w:tcPr>
            <w:tcW w:w="630" w:type="dxa"/>
          </w:tcPr>
          <w:p w:rsidR="00F863C8" w:rsidRPr="00140EF4" w:rsidRDefault="00F863C8" w:rsidP="00AB5D71">
            <w:pPr>
              <w:jc w:val="center"/>
              <w:rPr>
                <w:rFonts w:asciiTheme="minorHAnsi" w:hAnsiTheme="minorHAnsi"/>
                <w:bCs/>
                <w:sz w:val="24"/>
                <w:szCs w:val="24"/>
              </w:rPr>
            </w:pPr>
            <w:r w:rsidRPr="00140EF4">
              <w:rPr>
                <w:rFonts w:asciiTheme="minorHAnsi" w:hAnsiTheme="minorHAnsi"/>
                <w:bCs/>
                <w:sz w:val="24"/>
                <w:szCs w:val="24"/>
              </w:rPr>
              <w:t>125</w:t>
            </w:r>
          </w:p>
        </w:tc>
        <w:tc>
          <w:tcPr>
            <w:tcW w:w="630" w:type="dxa"/>
          </w:tcPr>
          <w:p w:rsidR="00F863C8" w:rsidRPr="008C68FB" w:rsidRDefault="00F863C8" w:rsidP="00AB5D71">
            <w:pPr>
              <w:jc w:val="center"/>
              <w:rPr>
                <w:rFonts w:asciiTheme="minorHAnsi" w:hAnsiTheme="minorHAnsi"/>
                <w:bCs/>
                <w:sz w:val="24"/>
                <w:szCs w:val="24"/>
              </w:rPr>
            </w:pPr>
            <w:r w:rsidRPr="008C68FB">
              <w:rPr>
                <w:rFonts w:asciiTheme="minorHAnsi" w:hAnsiTheme="minorHAnsi"/>
                <w:bCs/>
                <w:sz w:val="24"/>
                <w:szCs w:val="24"/>
              </w:rPr>
              <w:t>115</w:t>
            </w:r>
          </w:p>
        </w:tc>
        <w:tc>
          <w:tcPr>
            <w:tcW w:w="630" w:type="dxa"/>
          </w:tcPr>
          <w:p w:rsidR="00F863C8" w:rsidRPr="002C5F55" w:rsidRDefault="00F863C8" w:rsidP="00AB5D71">
            <w:pPr>
              <w:jc w:val="center"/>
              <w:rPr>
                <w:rFonts w:asciiTheme="minorHAnsi" w:hAnsiTheme="minorHAnsi"/>
                <w:bCs/>
                <w:sz w:val="24"/>
                <w:szCs w:val="24"/>
              </w:rPr>
            </w:pPr>
            <w:r w:rsidRPr="002C5F55">
              <w:rPr>
                <w:rFonts w:asciiTheme="minorHAnsi" w:hAnsiTheme="minorHAnsi"/>
                <w:bCs/>
                <w:sz w:val="24"/>
                <w:szCs w:val="24"/>
              </w:rPr>
              <w:t>112</w:t>
            </w:r>
          </w:p>
        </w:tc>
        <w:tc>
          <w:tcPr>
            <w:tcW w:w="630" w:type="dxa"/>
          </w:tcPr>
          <w:p w:rsidR="00F863C8" w:rsidRPr="004C6631" w:rsidRDefault="00F863C8" w:rsidP="00AB5D71">
            <w:pPr>
              <w:jc w:val="center"/>
              <w:rPr>
                <w:rFonts w:asciiTheme="minorHAnsi" w:hAnsiTheme="minorHAnsi"/>
                <w:bCs/>
                <w:sz w:val="24"/>
                <w:szCs w:val="24"/>
              </w:rPr>
            </w:pPr>
            <w:r w:rsidRPr="004C6631">
              <w:rPr>
                <w:rFonts w:asciiTheme="minorHAnsi" w:hAnsiTheme="minorHAnsi"/>
                <w:bCs/>
                <w:sz w:val="24"/>
                <w:szCs w:val="24"/>
              </w:rPr>
              <w:t>55</w:t>
            </w:r>
          </w:p>
        </w:tc>
        <w:tc>
          <w:tcPr>
            <w:tcW w:w="630" w:type="dxa"/>
          </w:tcPr>
          <w:p w:rsidR="00F863C8" w:rsidRPr="0082033A" w:rsidRDefault="00F863C8" w:rsidP="00AB5D71">
            <w:pPr>
              <w:jc w:val="center"/>
              <w:rPr>
                <w:rFonts w:asciiTheme="minorHAnsi" w:hAnsiTheme="minorHAnsi"/>
                <w:bCs/>
                <w:sz w:val="24"/>
                <w:szCs w:val="24"/>
              </w:rPr>
            </w:pPr>
            <w:r w:rsidRPr="0082033A">
              <w:rPr>
                <w:rFonts w:asciiTheme="minorHAnsi" w:hAnsiTheme="minorHAnsi"/>
                <w:bCs/>
                <w:sz w:val="24"/>
                <w:szCs w:val="24"/>
              </w:rPr>
              <w:t>78</w:t>
            </w:r>
          </w:p>
        </w:tc>
        <w:tc>
          <w:tcPr>
            <w:tcW w:w="630" w:type="dxa"/>
          </w:tcPr>
          <w:p w:rsidR="00F863C8" w:rsidRPr="00985C05" w:rsidRDefault="00F863C8" w:rsidP="00AB5D71">
            <w:pPr>
              <w:jc w:val="center"/>
              <w:rPr>
                <w:rFonts w:asciiTheme="minorHAnsi" w:hAnsiTheme="minorHAnsi"/>
                <w:bCs/>
                <w:sz w:val="24"/>
                <w:szCs w:val="24"/>
              </w:rPr>
            </w:pPr>
            <w:r w:rsidRPr="00985C05">
              <w:rPr>
                <w:rFonts w:asciiTheme="minorHAnsi" w:hAnsiTheme="minorHAnsi"/>
                <w:bCs/>
                <w:sz w:val="24"/>
                <w:szCs w:val="24"/>
              </w:rPr>
              <w:t>97</w:t>
            </w:r>
          </w:p>
        </w:tc>
        <w:tc>
          <w:tcPr>
            <w:tcW w:w="630" w:type="dxa"/>
          </w:tcPr>
          <w:p w:rsidR="00F863C8" w:rsidRPr="00692E24" w:rsidRDefault="00F863C8" w:rsidP="00AB5D71">
            <w:pPr>
              <w:jc w:val="center"/>
              <w:rPr>
                <w:rFonts w:asciiTheme="minorHAnsi" w:hAnsiTheme="minorHAnsi"/>
                <w:bCs/>
                <w:sz w:val="24"/>
                <w:szCs w:val="24"/>
              </w:rPr>
            </w:pPr>
            <w:r w:rsidRPr="00692E24">
              <w:rPr>
                <w:rFonts w:asciiTheme="minorHAnsi" w:hAnsiTheme="minorHAnsi"/>
                <w:bCs/>
                <w:sz w:val="24"/>
                <w:szCs w:val="24"/>
              </w:rPr>
              <w:t>86</w:t>
            </w:r>
          </w:p>
        </w:tc>
        <w:tc>
          <w:tcPr>
            <w:tcW w:w="630" w:type="dxa"/>
          </w:tcPr>
          <w:p w:rsidR="00F863C8" w:rsidRPr="00144092" w:rsidRDefault="00F863C8" w:rsidP="00AB5D71">
            <w:pPr>
              <w:jc w:val="center"/>
              <w:rPr>
                <w:rFonts w:asciiTheme="minorHAnsi" w:hAnsiTheme="minorHAnsi"/>
                <w:bCs/>
                <w:sz w:val="24"/>
                <w:szCs w:val="24"/>
              </w:rPr>
            </w:pPr>
            <w:r w:rsidRPr="00144092">
              <w:rPr>
                <w:rFonts w:asciiTheme="minorHAnsi" w:hAnsiTheme="minorHAnsi"/>
                <w:bCs/>
                <w:sz w:val="24"/>
                <w:szCs w:val="24"/>
              </w:rPr>
              <w:t>49</w:t>
            </w:r>
          </w:p>
        </w:tc>
        <w:tc>
          <w:tcPr>
            <w:tcW w:w="630" w:type="dxa"/>
          </w:tcPr>
          <w:p w:rsidR="00F863C8" w:rsidRPr="00D33CDC" w:rsidRDefault="00F863C8" w:rsidP="00AB5D71">
            <w:pPr>
              <w:jc w:val="center"/>
              <w:rPr>
                <w:rFonts w:asciiTheme="minorHAnsi" w:hAnsiTheme="minorHAnsi"/>
                <w:bCs/>
                <w:sz w:val="24"/>
                <w:szCs w:val="24"/>
              </w:rPr>
            </w:pPr>
            <w:r w:rsidRPr="00D33CDC">
              <w:rPr>
                <w:rFonts w:asciiTheme="minorHAnsi" w:hAnsiTheme="minorHAnsi"/>
                <w:bCs/>
                <w:sz w:val="24"/>
                <w:szCs w:val="24"/>
              </w:rPr>
              <w:t>85</w:t>
            </w:r>
          </w:p>
        </w:tc>
        <w:tc>
          <w:tcPr>
            <w:tcW w:w="630" w:type="dxa"/>
          </w:tcPr>
          <w:p w:rsidR="00F863C8" w:rsidRPr="00F863C8" w:rsidRDefault="00F863C8" w:rsidP="00AB5D71">
            <w:pPr>
              <w:jc w:val="center"/>
              <w:rPr>
                <w:rFonts w:asciiTheme="minorHAnsi" w:hAnsiTheme="minorHAnsi"/>
                <w:bCs/>
                <w:sz w:val="24"/>
                <w:szCs w:val="24"/>
              </w:rPr>
            </w:pPr>
            <w:r w:rsidRPr="00F863C8">
              <w:rPr>
                <w:rFonts w:asciiTheme="minorHAnsi" w:hAnsiTheme="minorHAnsi"/>
                <w:bCs/>
                <w:sz w:val="24"/>
                <w:szCs w:val="24"/>
              </w:rPr>
              <w:t>86</w:t>
            </w:r>
          </w:p>
        </w:tc>
        <w:tc>
          <w:tcPr>
            <w:tcW w:w="630" w:type="dxa"/>
          </w:tcPr>
          <w:p w:rsidR="00F863C8" w:rsidRPr="00F863C8" w:rsidRDefault="009804AC" w:rsidP="009804AC">
            <w:pPr>
              <w:jc w:val="center"/>
              <w:rPr>
                <w:rFonts w:asciiTheme="minorHAnsi" w:hAnsiTheme="minorHAnsi"/>
                <w:b/>
                <w:bCs/>
                <w:sz w:val="24"/>
                <w:szCs w:val="24"/>
              </w:rPr>
            </w:pPr>
            <w:r>
              <w:rPr>
                <w:rFonts w:asciiTheme="minorHAnsi" w:hAnsiTheme="minorHAnsi"/>
                <w:b/>
                <w:bCs/>
                <w:sz w:val="24"/>
                <w:szCs w:val="24"/>
              </w:rPr>
              <w:t>80</w:t>
            </w:r>
          </w:p>
        </w:tc>
      </w:tr>
      <w:tr w:rsidR="00F863C8" w:rsidRPr="00A16353" w:rsidTr="00F863C8">
        <w:trPr>
          <w:trHeight w:val="255"/>
        </w:trPr>
        <w:tc>
          <w:tcPr>
            <w:tcW w:w="1815" w:type="dxa"/>
            <w:noWrap/>
            <w:tcMar>
              <w:top w:w="15" w:type="dxa"/>
              <w:left w:w="15" w:type="dxa"/>
              <w:bottom w:w="0" w:type="dxa"/>
              <w:right w:w="15" w:type="dxa"/>
            </w:tcMar>
            <w:vAlign w:val="center"/>
          </w:tcPr>
          <w:p w:rsidR="00F863C8" w:rsidRPr="00A16353" w:rsidRDefault="00F863C8" w:rsidP="00D62237">
            <w:pPr>
              <w:rPr>
                <w:rFonts w:asciiTheme="minorHAnsi" w:eastAsia="Arial Unicode MS" w:hAnsiTheme="minorHAnsi"/>
                <w:sz w:val="16"/>
                <w:szCs w:val="16"/>
              </w:rPr>
            </w:pPr>
            <w:r w:rsidRPr="00A16353">
              <w:rPr>
                <w:rFonts w:asciiTheme="minorHAnsi" w:hAnsiTheme="minorHAnsi"/>
                <w:sz w:val="16"/>
                <w:szCs w:val="16"/>
              </w:rPr>
              <w:t>Purchasing Index</w:t>
            </w:r>
          </w:p>
        </w:tc>
        <w:tc>
          <w:tcPr>
            <w:tcW w:w="630" w:type="dxa"/>
          </w:tcPr>
          <w:p w:rsidR="00F863C8" w:rsidRPr="00140EF4" w:rsidRDefault="00F863C8" w:rsidP="00AB5D71">
            <w:pPr>
              <w:jc w:val="center"/>
              <w:rPr>
                <w:rFonts w:asciiTheme="minorHAnsi" w:hAnsiTheme="minorHAnsi"/>
                <w:bCs/>
                <w:sz w:val="24"/>
                <w:szCs w:val="24"/>
              </w:rPr>
            </w:pPr>
            <w:r w:rsidRPr="00140EF4">
              <w:rPr>
                <w:rFonts w:asciiTheme="minorHAnsi" w:hAnsiTheme="minorHAnsi"/>
                <w:bCs/>
                <w:sz w:val="24"/>
                <w:szCs w:val="24"/>
              </w:rPr>
              <w:t>81</w:t>
            </w:r>
          </w:p>
        </w:tc>
        <w:tc>
          <w:tcPr>
            <w:tcW w:w="630" w:type="dxa"/>
          </w:tcPr>
          <w:p w:rsidR="00F863C8" w:rsidRPr="008C68FB" w:rsidRDefault="00F863C8" w:rsidP="00AB5D71">
            <w:pPr>
              <w:jc w:val="center"/>
              <w:rPr>
                <w:rFonts w:asciiTheme="minorHAnsi" w:hAnsiTheme="minorHAnsi"/>
                <w:bCs/>
                <w:sz w:val="24"/>
                <w:szCs w:val="24"/>
              </w:rPr>
            </w:pPr>
            <w:r w:rsidRPr="008C68FB">
              <w:rPr>
                <w:rFonts w:asciiTheme="minorHAnsi" w:hAnsiTheme="minorHAnsi"/>
                <w:bCs/>
                <w:sz w:val="24"/>
                <w:szCs w:val="24"/>
              </w:rPr>
              <w:t>93</w:t>
            </w:r>
          </w:p>
        </w:tc>
        <w:tc>
          <w:tcPr>
            <w:tcW w:w="630" w:type="dxa"/>
          </w:tcPr>
          <w:p w:rsidR="00F863C8" w:rsidRPr="002C5F55" w:rsidRDefault="00F863C8" w:rsidP="00AB5D71">
            <w:pPr>
              <w:jc w:val="center"/>
              <w:rPr>
                <w:rFonts w:asciiTheme="minorHAnsi" w:hAnsiTheme="minorHAnsi"/>
                <w:bCs/>
                <w:sz w:val="24"/>
                <w:szCs w:val="24"/>
              </w:rPr>
            </w:pPr>
            <w:r w:rsidRPr="002C5F55">
              <w:rPr>
                <w:rFonts w:asciiTheme="minorHAnsi" w:hAnsiTheme="minorHAnsi"/>
                <w:bCs/>
                <w:sz w:val="24"/>
                <w:szCs w:val="24"/>
              </w:rPr>
              <w:t>92</w:t>
            </w:r>
          </w:p>
        </w:tc>
        <w:tc>
          <w:tcPr>
            <w:tcW w:w="630" w:type="dxa"/>
          </w:tcPr>
          <w:p w:rsidR="00F863C8" w:rsidRPr="004C6631" w:rsidRDefault="00F863C8" w:rsidP="00AB5D71">
            <w:pPr>
              <w:jc w:val="center"/>
              <w:rPr>
                <w:rFonts w:asciiTheme="minorHAnsi" w:hAnsiTheme="minorHAnsi"/>
                <w:bCs/>
                <w:sz w:val="24"/>
                <w:szCs w:val="24"/>
              </w:rPr>
            </w:pPr>
            <w:r w:rsidRPr="004C6631">
              <w:rPr>
                <w:rFonts w:asciiTheme="minorHAnsi" w:hAnsiTheme="minorHAnsi"/>
                <w:bCs/>
                <w:sz w:val="24"/>
                <w:szCs w:val="24"/>
              </w:rPr>
              <w:t>73</w:t>
            </w:r>
          </w:p>
        </w:tc>
        <w:tc>
          <w:tcPr>
            <w:tcW w:w="630" w:type="dxa"/>
          </w:tcPr>
          <w:p w:rsidR="00F863C8" w:rsidRPr="0082033A" w:rsidRDefault="00F863C8" w:rsidP="00AB5D71">
            <w:pPr>
              <w:jc w:val="center"/>
              <w:rPr>
                <w:rFonts w:asciiTheme="minorHAnsi" w:hAnsiTheme="minorHAnsi"/>
                <w:bCs/>
                <w:sz w:val="24"/>
                <w:szCs w:val="24"/>
              </w:rPr>
            </w:pPr>
            <w:r w:rsidRPr="0082033A">
              <w:rPr>
                <w:rFonts w:asciiTheme="minorHAnsi" w:hAnsiTheme="minorHAnsi"/>
                <w:bCs/>
                <w:sz w:val="24"/>
                <w:szCs w:val="24"/>
              </w:rPr>
              <w:t>82</w:t>
            </w:r>
          </w:p>
        </w:tc>
        <w:tc>
          <w:tcPr>
            <w:tcW w:w="630" w:type="dxa"/>
          </w:tcPr>
          <w:p w:rsidR="00F863C8" w:rsidRPr="00985C05" w:rsidRDefault="00F863C8" w:rsidP="00AB5D71">
            <w:pPr>
              <w:jc w:val="center"/>
              <w:rPr>
                <w:rFonts w:asciiTheme="minorHAnsi" w:hAnsiTheme="minorHAnsi"/>
                <w:bCs/>
                <w:sz w:val="24"/>
                <w:szCs w:val="24"/>
              </w:rPr>
            </w:pPr>
            <w:r w:rsidRPr="00985C05">
              <w:rPr>
                <w:rFonts w:asciiTheme="minorHAnsi" w:hAnsiTheme="minorHAnsi"/>
                <w:bCs/>
                <w:sz w:val="24"/>
                <w:szCs w:val="24"/>
              </w:rPr>
              <w:t>95</w:t>
            </w:r>
          </w:p>
        </w:tc>
        <w:tc>
          <w:tcPr>
            <w:tcW w:w="630" w:type="dxa"/>
          </w:tcPr>
          <w:p w:rsidR="00F863C8" w:rsidRPr="00692E24" w:rsidRDefault="00F863C8" w:rsidP="00AB5D71">
            <w:pPr>
              <w:jc w:val="center"/>
              <w:rPr>
                <w:rFonts w:asciiTheme="minorHAnsi" w:hAnsiTheme="minorHAnsi"/>
                <w:bCs/>
                <w:sz w:val="24"/>
                <w:szCs w:val="24"/>
              </w:rPr>
            </w:pPr>
            <w:r w:rsidRPr="00692E24">
              <w:rPr>
                <w:rFonts w:asciiTheme="minorHAnsi" w:hAnsiTheme="minorHAnsi"/>
                <w:bCs/>
                <w:sz w:val="24"/>
                <w:szCs w:val="24"/>
              </w:rPr>
              <w:t>95</w:t>
            </w:r>
          </w:p>
        </w:tc>
        <w:tc>
          <w:tcPr>
            <w:tcW w:w="630" w:type="dxa"/>
          </w:tcPr>
          <w:p w:rsidR="00F863C8" w:rsidRPr="00144092" w:rsidRDefault="00F863C8" w:rsidP="00AB5D71">
            <w:pPr>
              <w:jc w:val="center"/>
              <w:rPr>
                <w:rFonts w:asciiTheme="minorHAnsi" w:hAnsiTheme="minorHAnsi"/>
                <w:bCs/>
                <w:sz w:val="24"/>
                <w:szCs w:val="24"/>
              </w:rPr>
            </w:pPr>
            <w:r w:rsidRPr="00144092">
              <w:rPr>
                <w:rFonts w:asciiTheme="minorHAnsi" w:hAnsiTheme="minorHAnsi"/>
                <w:bCs/>
                <w:sz w:val="24"/>
                <w:szCs w:val="24"/>
              </w:rPr>
              <w:t>70</w:t>
            </w:r>
          </w:p>
        </w:tc>
        <w:tc>
          <w:tcPr>
            <w:tcW w:w="630" w:type="dxa"/>
          </w:tcPr>
          <w:p w:rsidR="00F863C8" w:rsidRPr="00D33CDC" w:rsidRDefault="00F863C8" w:rsidP="00AB5D71">
            <w:pPr>
              <w:jc w:val="center"/>
              <w:rPr>
                <w:rFonts w:asciiTheme="minorHAnsi" w:hAnsiTheme="minorHAnsi"/>
                <w:bCs/>
                <w:sz w:val="24"/>
                <w:szCs w:val="24"/>
              </w:rPr>
            </w:pPr>
            <w:r w:rsidRPr="00D33CDC">
              <w:rPr>
                <w:rFonts w:asciiTheme="minorHAnsi" w:hAnsiTheme="minorHAnsi"/>
                <w:bCs/>
                <w:sz w:val="24"/>
                <w:szCs w:val="24"/>
              </w:rPr>
              <w:t>71</w:t>
            </w:r>
          </w:p>
        </w:tc>
        <w:tc>
          <w:tcPr>
            <w:tcW w:w="630" w:type="dxa"/>
          </w:tcPr>
          <w:p w:rsidR="00F863C8" w:rsidRPr="00F863C8" w:rsidRDefault="00F863C8" w:rsidP="00AB5D71">
            <w:pPr>
              <w:jc w:val="center"/>
              <w:rPr>
                <w:rFonts w:asciiTheme="minorHAnsi" w:hAnsiTheme="minorHAnsi"/>
                <w:bCs/>
                <w:sz w:val="24"/>
                <w:szCs w:val="24"/>
              </w:rPr>
            </w:pPr>
            <w:r w:rsidRPr="00F863C8">
              <w:rPr>
                <w:rFonts w:asciiTheme="minorHAnsi" w:hAnsiTheme="minorHAnsi"/>
                <w:bCs/>
                <w:sz w:val="24"/>
                <w:szCs w:val="24"/>
              </w:rPr>
              <w:t>79</w:t>
            </w:r>
          </w:p>
        </w:tc>
        <w:tc>
          <w:tcPr>
            <w:tcW w:w="630" w:type="dxa"/>
          </w:tcPr>
          <w:p w:rsidR="00F863C8" w:rsidRPr="00F863C8" w:rsidRDefault="009804AC" w:rsidP="009804AC">
            <w:pPr>
              <w:jc w:val="center"/>
              <w:rPr>
                <w:rFonts w:asciiTheme="minorHAnsi" w:hAnsiTheme="minorHAnsi"/>
                <w:b/>
                <w:bCs/>
                <w:sz w:val="24"/>
                <w:szCs w:val="24"/>
              </w:rPr>
            </w:pPr>
            <w:r>
              <w:rPr>
                <w:rFonts w:asciiTheme="minorHAnsi" w:hAnsiTheme="minorHAnsi"/>
                <w:b/>
                <w:bCs/>
                <w:sz w:val="24"/>
                <w:szCs w:val="24"/>
              </w:rPr>
              <w:t>98</w:t>
            </w:r>
          </w:p>
        </w:tc>
      </w:tr>
    </w:tbl>
    <w:p w:rsidR="001D6128" w:rsidRDefault="001D6128" w:rsidP="001D6128">
      <w:pPr>
        <w:pStyle w:val="BodyText"/>
        <w:jc w:val="both"/>
        <w:rPr>
          <w:rFonts w:asciiTheme="minorHAnsi" w:hAnsiTheme="minorHAnsi"/>
          <w:bCs/>
        </w:rPr>
      </w:pPr>
    </w:p>
    <w:p w:rsidR="00312BBE" w:rsidRDefault="00312BBE" w:rsidP="00453C72">
      <w:pPr>
        <w:pStyle w:val="BodyText"/>
        <w:jc w:val="both"/>
        <w:rPr>
          <w:rFonts w:asciiTheme="minorHAnsi" w:hAnsiTheme="minorHAnsi"/>
          <w:bCs/>
        </w:rPr>
      </w:pPr>
    </w:p>
    <w:p w:rsidR="00312BBE" w:rsidRDefault="002C318D" w:rsidP="00312BBE">
      <w:pPr>
        <w:pStyle w:val="BodyText"/>
        <w:jc w:val="both"/>
        <w:rPr>
          <w:rFonts w:asciiTheme="minorHAnsi" w:hAnsiTheme="minorHAnsi"/>
          <w:bCs/>
        </w:rPr>
      </w:pPr>
      <w:r>
        <w:rPr>
          <w:rFonts w:asciiTheme="minorHAnsi" w:hAnsiTheme="minorHAnsi"/>
          <w:bCs/>
        </w:rPr>
        <w:t xml:space="preserve">     </w:t>
      </w:r>
      <w:r w:rsidR="00312BBE">
        <w:rPr>
          <w:rFonts w:asciiTheme="minorHAnsi" w:hAnsiTheme="minorHAnsi"/>
          <w:bCs/>
        </w:rPr>
        <w:t xml:space="preserve">Additionally, the Purchasing Index gained to 98 from 79 in May.  This is good news for local businesses as many retailers begin </w:t>
      </w:r>
      <w:r w:rsidR="002F566F">
        <w:rPr>
          <w:rFonts w:asciiTheme="minorHAnsi" w:hAnsiTheme="minorHAnsi"/>
          <w:bCs/>
        </w:rPr>
        <w:t xml:space="preserve">setting their sights on </w:t>
      </w:r>
      <w:r w:rsidR="00312BBE">
        <w:rPr>
          <w:rFonts w:asciiTheme="minorHAnsi" w:hAnsiTheme="minorHAnsi"/>
          <w:bCs/>
        </w:rPr>
        <w:t>the ever important Christmas and Holiday shopping season.  This positive view toward spending could signal healthy sales at the cash register later in the year.</w:t>
      </w:r>
      <w:r w:rsidR="00312BBE">
        <w:rPr>
          <w:rFonts w:asciiTheme="minorHAnsi" w:hAnsiTheme="minorHAnsi"/>
          <w:bCs/>
        </w:rPr>
        <w:t xml:space="preserve">  </w:t>
      </w:r>
      <w:r w:rsidR="002F566F">
        <w:rPr>
          <w:rFonts w:asciiTheme="minorHAnsi" w:hAnsiTheme="minorHAnsi"/>
          <w:bCs/>
        </w:rPr>
        <w:t>Those in the auto industry will be pleased to hear that the percent of consumers who s</w:t>
      </w:r>
      <w:r w:rsidR="00312BBE">
        <w:rPr>
          <w:rFonts w:asciiTheme="minorHAnsi" w:hAnsiTheme="minorHAnsi"/>
          <w:bCs/>
        </w:rPr>
        <w:t>aid that now is a “good time” to buy a car</w:t>
      </w:r>
      <w:r w:rsidR="002F566F">
        <w:rPr>
          <w:rFonts w:asciiTheme="minorHAnsi" w:hAnsiTheme="minorHAnsi"/>
          <w:bCs/>
        </w:rPr>
        <w:t xml:space="preserve"> rose to 48 from </w:t>
      </w:r>
      <w:r w:rsidR="00312BBE">
        <w:rPr>
          <w:rFonts w:asciiTheme="minorHAnsi" w:hAnsiTheme="minorHAnsi"/>
          <w:bCs/>
        </w:rPr>
        <w:t>37 in May.</w:t>
      </w:r>
      <w:r w:rsidR="002F566F">
        <w:rPr>
          <w:rFonts w:asciiTheme="minorHAnsi" w:hAnsiTheme="minorHAnsi"/>
          <w:bCs/>
        </w:rPr>
        <w:t xml:space="preserve">  </w:t>
      </w:r>
    </w:p>
    <w:p w:rsidR="00312BBE" w:rsidRDefault="00312BBE" w:rsidP="00453C72">
      <w:pPr>
        <w:pStyle w:val="BodyText"/>
        <w:jc w:val="both"/>
        <w:rPr>
          <w:rFonts w:asciiTheme="minorHAnsi" w:hAnsiTheme="minorHAnsi"/>
          <w:bCs/>
        </w:rPr>
      </w:pPr>
    </w:p>
    <w:p w:rsidR="00312BBE" w:rsidRDefault="002C318D" w:rsidP="00453C72">
      <w:pPr>
        <w:pStyle w:val="BodyText"/>
        <w:jc w:val="both"/>
        <w:rPr>
          <w:rFonts w:asciiTheme="minorHAnsi" w:hAnsiTheme="minorHAnsi"/>
          <w:bCs/>
        </w:rPr>
      </w:pPr>
      <w:r>
        <w:rPr>
          <w:rFonts w:asciiTheme="minorHAnsi" w:hAnsiTheme="minorHAnsi"/>
          <w:bCs/>
        </w:rPr>
        <w:t xml:space="preserve">     </w:t>
      </w:r>
      <w:r w:rsidR="00312BBE">
        <w:rPr>
          <w:rFonts w:asciiTheme="minorHAnsi" w:hAnsiTheme="minorHAnsi"/>
          <w:bCs/>
        </w:rPr>
        <w:t>The perception of the job market remains an important component to consumers’ view of the economy.  While the percent who said that jobs in Middle Tennessee are “easy to find” dropped slightly to 14 from 16, the percent who said that in Middle Tennessee six months from now there will be “more job openings” rose to 38 from 33.</w:t>
      </w:r>
    </w:p>
    <w:p w:rsidR="00312BBE" w:rsidRDefault="00312BBE" w:rsidP="00453C72">
      <w:pPr>
        <w:pStyle w:val="BodyText"/>
        <w:jc w:val="both"/>
        <w:rPr>
          <w:rFonts w:asciiTheme="minorHAnsi" w:hAnsiTheme="minorHAnsi"/>
          <w:bCs/>
        </w:rPr>
      </w:pPr>
    </w:p>
    <w:p w:rsidR="007236D9" w:rsidRDefault="002C318D" w:rsidP="00453C72">
      <w:pPr>
        <w:pStyle w:val="BodyText"/>
        <w:jc w:val="both"/>
        <w:rPr>
          <w:rFonts w:asciiTheme="minorHAnsi" w:hAnsiTheme="minorHAnsi"/>
          <w:bCs/>
        </w:rPr>
      </w:pPr>
      <w:r>
        <w:rPr>
          <w:rFonts w:asciiTheme="minorHAnsi" w:hAnsiTheme="minorHAnsi"/>
          <w:bCs/>
        </w:rPr>
        <w:t xml:space="preserve">     </w:t>
      </w:r>
      <w:r w:rsidR="00312BBE">
        <w:rPr>
          <w:rFonts w:asciiTheme="minorHAnsi" w:hAnsiTheme="minorHAnsi"/>
          <w:bCs/>
        </w:rPr>
        <w:t xml:space="preserve">On a </w:t>
      </w:r>
      <w:r w:rsidR="00552AAE">
        <w:rPr>
          <w:rFonts w:asciiTheme="minorHAnsi" w:hAnsiTheme="minorHAnsi"/>
          <w:bCs/>
        </w:rPr>
        <w:t>cautio</w:t>
      </w:r>
      <w:bookmarkStart w:id="0" w:name="_GoBack"/>
      <w:bookmarkEnd w:id="0"/>
      <w:r w:rsidR="00CC1B83">
        <w:rPr>
          <w:rFonts w:asciiTheme="minorHAnsi" w:hAnsiTheme="minorHAnsi"/>
          <w:bCs/>
        </w:rPr>
        <w:t>nary</w:t>
      </w:r>
      <w:r w:rsidR="00312BBE">
        <w:rPr>
          <w:rFonts w:asciiTheme="minorHAnsi" w:hAnsiTheme="minorHAnsi"/>
          <w:bCs/>
        </w:rPr>
        <w:t xml:space="preserve"> note, local </w:t>
      </w:r>
      <w:r w:rsidR="007236D9">
        <w:rPr>
          <w:rFonts w:asciiTheme="minorHAnsi" w:hAnsiTheme="minorHAnsi"/>
          <w:bCs/>
        </w:rPr>
        <w:t xml:space="preserve">consumers have become a bit more concerned about the future of the </w:t>
      </w:r>
      <w:r w:rsidR="0093396A">
        <w:rPr>
          <w:rFonts w:asciiTheme="minorHAnsi" w:hAnsiTheme="minorHAnsi"/>
          <w:bCs/>
        </w:rPr>
        <w:t xml:space="preserve">American </w:t>
      </w:r>
      <w:r w:rsidR="007236D9">
        <w:rPr>
          <w:rFonts w:asciiTheme="minorHAnsi" w:hAnsiTheme="minorHAnsi"/>
          <w:bCs/>
        </w:rPr>
        <w:t xml:space="preserve">economy.  The Future Expectations Index </w:t>
      </w:r>
      <w:r w:rsidR="00312BBE">
        <w:rPr>
          <w:rFonts w:asciiTheme="minorHAnsi" w:hAnsiTheme="minorHAnsi"/>
          <w:bCs/>
        </w:rPr>
        <w:t xml:space="preserve">dropped </w:t>
      </w:r>
      <w:r w:rsidR="007236D9">
        <w:rPr>
          <w:rFonts w:asciiTheme="minorHAnsi" w:hAnsiTheme="minorHAnsi"/>
          <w:bCs/>
        </w:rPr>
        <w:t xml:space="preserve">to 80 from 86 in May.  </w:t>
      </w:r>
      <w:r w:rsidR="0093396A">
        <w:rPr>
          <w:rFonts w:asciiTheme="minorHAnsi" w:hAnsiTheme="minorHAnsi"/>
          <w:bCs/>
        </w:rPr>
        <w:t xml:space="preserve">This was due almost entirely to concerns about the future of the overall American economy.  The percent of consumers who said that six months from now business conditions in the country as a whole will be “better” dropped to 22 from 31.  </w:t>
      </w:r>
      <w:r w:rsidR="007236D9">
        <w:rPr>
          <w:rFonts w:asciiTheme="minorHAnsi" w:hAnsiTheme="minorHAnsi"/>
          <w:bCs/>
        </w:rPr>
        <w:t xml:space="preserve">Recent uncertainty with world events could explain why consumers are taking a bit more cautious view of </w:t>
      </w:r>
      <w:r w:rsidR="0093396A">
        <w:rPr>
          <w:rFonts w:asciiTheme="minorHAnsi" w:hAnsiTheme="minorHAnsi"/>
          <w:bCs/>
        </w:rPr>
        <w:t xml:space="preserve">our economic </w:t>
      </w:r>
      <w:r w:rsidR="007236D9">
        <w:rPr>
          <w:rFonts w:asciiTheme="minorHAnsi" w:hAnsiTheme="minorHAnsi"/>
          <w:bCs/>
        </w:rPr>
        <w:t xml:space="preserve">future.  </w:t>
      </w:r>
    </w:p>
    <w:p w:rsidR="007236D9" w:rsidRDefault="007236D9" w:rsidP="00453C72">
      <w:pPr>
        <w:pStyle w:val="BodyText"/>
        <w:jc w:val="both"/>
        <w:rPr>
          <w:rFonts w:asciiTheme="minorHAnsi" w:hAnsiTheme="minorHAnsi"/>
          <w:bCs/>
        </w:rPr>
      </w:pPr>
    </w:p>
    <w:p w:rsidR="007236D9" w:rsidRDefault="007236D9" w:rsidP="00453C72">
      <w:pPr>
        <w:pStyle w:val="BodyText"/>
        <w:jc w:val="both"/>
        <w:rPr>
          <w:rFonts w:asciiTheme="minorHAnsi" w:hAnsiTheme="minorHAnsi"/>
          <w:bCs/>
        </w:rPr>
      </w:pPr>
      <w:r>
        <w:rPr>
          <w:rFonts w:asciiTheme="minorHAnsi" w:hAnsiTheme="minorHAnsi"/>
          <w:bCs/>
        </w:rPr>
        <w:t xml:space="preserve">    Overall, however, these results are very positive. The fact that the overall Outlook Index </w:t>
      </w:r>
      <w:r w:rsidR="0093396A">
        <w:rPr>
          <w:rFonts w:asciiTheme="minorHAnsi" w:hAnsiTheme="minorHAnsi"/>
          <w:bCs/>
        </w:rPr>
        <w:t xml:space="preserve">has </w:t>
      </w:r>
      <w:r>
        <w:rPr>
          <w:rFonts w:asciiTheme="minorHAnsi" w:hAnsiTheme="minorHAnsi"/>
          <w:bCs/>
        </w:rPr>
        <w:t xml:space="preserve">remained above 200 </w:t>
      </w:r>
      <w:r w:rsidR="0093396A">
        <w:rPr>
          <w:rFonts w:asciiTheme="minorHAnsi" w:hAnsiTheme="minorHAnsi"/>
          <w:bCs/>
        </w:rPr>
        <w:t xml:space="preserve">since May of this year </w:t>
      </w:r>
      <w:r>
        <w:rPr>
          <w:rFonts w:asciiTheme="minorHAnsi" w:hAnsiTheme="minorHAnsi"/>
          <w:bCs/>
        </w:rPr>
        <w:t xml:space="preserve">indicates that consumers </w:t>
      </w:r>
      <w:r w:rsidR="003E1C14">
        <w:rPr>
          <w:rFonts w:asciiTheme="minorHAnsi" w:hAnsiTheme="minorHAnsi"/>
          <w:bCs/>
        </w:rPr>
        <w:t xml:space="preserve">believe that the economy has improved and has begun to gain a solid footing.  However, concerns about the future of the overall American economy are evident.  Any drastic changes in world events could cause consumers to lose confidence and decrease spending in reaction to potential threats to continued economic growth.     </w:t>
      </w:r>
      <w:r w:rsidR="00312BBE">
        <w:rPr>
          <w:rFonts w:asciiTheme="minorHAnsi" w:hAnsiTheme="minorHAnsi"/>
          <w:bCs/>
        </w:rPr>
        <w:t xml:space="preserve">  </w:t>
      </w:r>
      <w:r>
        <w:rPr>
          <w:rFonts w:asciiTheme="minorHAnsi" w:hAnsiTheme="minorHAnsi"/>
          <w:bCs/>
        </w:rPr>
        <w:t xml:space="preserve">  </w:t>
      </w:r>
    </w:p>
    <w:p w:rsidR="00312BBE" w:rsidRDefault="00312BBE" w:rsidP="00453C72">
      <w:pPr>
        <w:pStyle w:val="BodyText"/>
        <w:jc w:val="both"/>
        <w:rPr>
          <w:rFonts w:asciiTheme="minorHAnsi" w:hAnsiTheme="minorHAnsi"/>
          <w:bCs/>
        </w:rPr>
      </w:pPr>
    </w:p>
    <w:p w:rsidR="00877A8B" w:rsidRDefault="00877A8B" w:rsidP="00877A8B">
      <w:pPr>
        <w:pStyle w:val="BodyText"/>
        <w:jc w:val="both"/>
        <w:rPr>
          <w:rFonts w:asciiTheme="minorHAnsi" w:hAnsiTheme="minorHAnsi"/>
        </w:rPr>
      </w:pPr>
      <w:r>
        <w:rPr>
          <w:rFonts w:asciiTheme="minorHAnsi" w:hAnsiTheme="minorHAnsi"/>
        </w:rPr>
        <w:t xml:space="preserve">     </w:t>
      </w:r>
      <w:r w:rsidRPr="00A16353">
        <w:rPr>
          <w:rFonts w:asciiTheme="minorHAnsi" w:hAnsiTheme="minorHAnsi"/>
        </w:rPr>
        <w:t>The current poll of</w:t>
      </w:r>
      <w:r>
        <w:rPr>
          <w:rFonts w:asciiTheme="minorHAnsi" w:hAnsiTheme="minorHAnsi"/>
        </w:rPr>
        <w:t xml:space="preserve"> </w:t>
      </w:r>
      <w:r w:rsidR="00312BBE">
        <w:rPr>
          <w:rFonts w:asciiTheme="minorHAnsi" w:hAnsiTheme="minorHAnsi"/>
        </w:rPr>
        <w:t xml:space="preserve">343 </w:t>
      </w:r>
      <w:r w:rsidRPr="00A16353">
        <w:rPr>
          <w:rFonts w:asciiTheme="minorHAnsi" w:hAnsiTheme="minorHAnsi"/>
        </w:rPr>
        <w:t>randomly selected adult residents of Davidson</w:t>
      </w:r>
      <w:r>
        <w:rPr>
          <w:rFonts w:asciiTheme="minorHAnsi" w:hAnsiTheme="minorHAnsi"/>
        </w:rPr>
        <w:t xml:space="preserve"> County</w:t>
      </w:r>
      <w:r w:rsidRPr="00A16353">
        <w:rPr>
          <w:rFonts w:asciiTheme="minorHAnsi" w:hAnsiTheme="minorHAnsi"/>
        </w:rPr>
        <w:t>, Rutherford</w:t>
      </w:r>
      <w:r>
        <w:rPr>
          <w:rFonts w:asciiTheme="minorHAnsi" w:hAnsiTheme="minorHAnsi"/>
        </w:rPr>
        <w:t xml:space="preserve"> County</w:t>
      </w:r>
      <w:r w:rsidRPr="00A16353">
        <w:rPr>
          <w:rFonts w:asciiTheme="minorHAnsi" w:hAnsiTheme="minorHAnsi"/>
        </w:rPr>
        <w:t xml:space="preserve"> and Williamson </w:t>
      </w:r>
      <w:r>
        <w:rPr>
          <w:rFonts w:asciiTheme="minorHAnsi" w:hAnsiTheme="minorHAnsi"/>
        </w:rPr>
        <w:t xml:space="preserve">County </w:t>
      </w:r>
      <w:r w:rsidRPr="00A16353">
        <w:rPr>
          <w:rFonts w:asciiTheme="minorHAnsi" w:hAnsiTheme="minorHAnsi"/>
        </w:rPr>
        <w:t xml:space="preserve">was conducted </w:t>
      </w:r>
      <w:r w:rsidR="00144092">
        <w:rPr>
          <w:rFonts w:asciiTheme="minorHAnsi" w:hAnsiTheme="minorHAnsi"/>
        </w:rPr>
        <w:t xml:space="preserve">between the evenings of </w:t>
      </w:r>
      <w:r w:rsidR="00FB5698">
        <w:rPr>
          <w:rFonts w:asciiTheme="minorHAnsi" w:hAnsiTheme="minorHAnsi"/>
        </w:rPr>
        <w:t>Monday, September 8</w:t>
      </w:r>
      <w:r w:rsidR="00144092">
        <w:rPr>
          <w:rFonts w:asciiTheme="minorHAnsi" w:hAnsiTheme="minorHAnsi"/>
        </w:rPr>
        <w:t xml:space="preserve"> and </w:t>
      </w:r>
      <w:r w:rsidR="00FB5698">
        <w:rPr>
          <w:rFonts w:asciiTheme="minorHAnsi" w:hAnsiTheme="minorHAnsi"/>
        </w:rPr>
        <w:t>Wednesday, September 10</w:t>
      </w:r>
      <w:r>
        <w:rPr>
          <w:rFonts w:asciiTheme="minorHAnsi" w:hAnsiTheme="minorHAnsi"/>
        </w:rPr>
        <w:t>.</w:t>
      </w:r>
      <w:r w:rsidR="00D75CD8">
        <w:rPr>
          <w:rStyle w:val="FootnoteReference"/>
          <w:rFonts w:asciiTheme="minorHAnsi" w:hAnsiTheme="minorHAnsi"/>
        </w:rPr>
        <w:footnoteReference w:id="2"/>
      </w:r>
      <w:r>
        <w:rPr>
          <w:rFonts w:asciiTheme="minorHAnsi" w:hAnsiTheme="minorHAnsi"/>
        </w:rPr>
        <w:t xml:space="preserve"> </w:t>
      </w:r>
      <w:r w:rsidRPr="00A16353">
        <w:rPr>
          <w:rFonts w:asciiTheme="minorHAnsi" w:hAnsiTheme="minorHAnsi"/>
        </w:rPr>
        <w:t xml:space="preserve">  </w:t>
      </w:r>
    </w:p>
    <w:p w:rsidR="002C318D" w:rsidRDefault="002C318D" w:rsidP="00877A8B">
      <w:pPr>
        <w:pStyle w:val="BodyText"/>
        <w:jc w:val="both"/>
        <w:rPr>
          <w:rFonts w:asciiTheme="minorHAnsi" w:hAnsiTheme="minorHAnsi"/>
        </w:rPr>
      </w:pPr>
    </w:p>
    <w:p w:rsidR="001D6128" w:rsidRDefault="00877A8B" w:rsidP="00877A8B">
      <w:pPr>
        <w:pStyle w:val="BodyText"/>
        <w:jc w:val="center"/>
        <w:rPr>
          <w:rFonts w:asciiTheme="minorHAnsi" w:hAnsiTheme="minorHAnsi"/>
          <w:bCs/>
        </w:rPr>
      </w:pPr>
      <w:r w:rsidRPr="00877A8B">
        <w:rPr>
          <w:rFonts w:asciiTheme="minorHAnsi" w:hAnsiTheme="minorHAnsi"/>
          <w:b/>
          <w:bCs/>
          <w:noProof/>
        </w:rPr>
        <w:lastRenderedPageBreak/>
        <w:drawing>
          <wp:inline distT="0" distB="0" distL="0" distR="0" wp14:anchorId="64F75078" wp14:editId="7ED70127">
            <wp:extent cx="5172075" cy="372427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9580C" w:rsidRDefault="00B9580C" w:rsidP="00877A8B">
      <w:pPr>
        <w:pStyle w:val="BodyText"/>
        <w:jc w:val="both"/>
        <w:rPr>
          <w:rFonts w:asciiTheme="minorHAnsi" w:hAnsiTheme="minorHAnsi"/>
          <w:bCs/>
        </w:rPr>
      </w:pPr>
    </w:p>
    <w:p w:rsidR="00DD7B99" w:rsidRPr="008D1959" w:rsidRDefault="00877A8B" w:rsidP="00DD7B99">
      <w:pPr>
        <w:pStyle w:val="BodyText"/>
        <w:jc w:val="both"/>
        <w:rPr>
          <w:rFonts w:asciiTheme="minorHAnsi" w:hAnsiTheme="minorHAnsi"/>
          <w:b/>
          <w:bCs/>
          <w:sz w:val="28"/>
          <w:szCs w:val="28"/>
          <w:u w:val="single"/>
        </w:rPr>
      </w:pPr>
      <w:r w:rsidRPr="00A16353">
        <w:rPr>
          <w:rFonts w:asciiTheme="minorHAnsi" w:hAnsiTheme="minorHAnsi"/>
          <w:bCs/>
        </w:rPr>
        <w:t xml:space="preserve">     </w:t>
      </w:r>
      <w:r w:rsidR="00DD7B99" w:rsidRPr="008D1959">
        <w:rPr>
          <w:rFonts w:asciiTheme="minorHAnsi" w:hAnsiTheme="minorHAnsi"/>
          <w:b/>
          <w:bCs/>
          <w:sz w:val="28"/>
          <w:szCs w:val="28"/>
          <w:u w:val="single"/>
        </w:rPr>
        <w:t>Annual Consumer Spending</w:t>
      </w:r>
    </w:p>
    <w:p w:rsidR="00DD7B99" w:rsidRPr="00A16353" w:rsidRDefault="00DD7B99" w:rsidP="00DD7B99">
      <w:pPr>
        <w:pStyle w:val="BodyText"/>
        <w:jc w:val="both"/>
        <w:rPr>
          <w:rFonts w:asciiTheme="minorHAnsi" w:hAnsiTheme="minorHAnsi"/>
          <w:bCs/>
        </w:rPr>
      </w:pPr>
    </w:p>
    <w:p w:rsidR="00877A8B" w:rsidRDefault="00813A3C" w:rsidP="00342C3E">
      <w:pPr>
        <w:pStyle w:val="BodyText"/>
        <w:jc w:val="both"/>
        <w:rPr>
          <w:rFonts w:asciiTheme="minorHAnsi" w:hAnsiTheme="minorHAnsi"/>
          <w:bCs/>
        </w:rPr>
      </w:pPr>
      <w:r>
        <w:rPr>
          <w:rFonts w:asciiTheme="minorHAnsi" w:hAnsiTheme="minorHAnsi"/>
          <w:bCs/>
        </w:rPr>
        <w:t xml:space="preserve">     </w:t>
      </w:r>
      <w:r w:rsidR="006558E4">
        <w:rPr>
          <w:rFonts w:asciiTheme="minorHAnsi" w:hAnsiTheme="minorHAnsi"/>
          <w:bCs/>
        </w:rPr>
        <w:t xml:space="preserve">As consumers become more upbeat about the economy this can have positive effects on their spending decisions.  </w:t>
      </w:r>
      <w:r w:rsidR="00F63061">
        <w:rPr>
          <w:rFonts w:asciiTheme="minorHAnsi" w:hAnsiTheme="minorHAnsi"/>
          <w:bCs/>
        </w:rPr>
        <w:t xml:space="preserve">When asked whether or not they </w:t>
      </w:r>
      <w:r>
        <w:rPr>
          <w:rFonts w:asciiTheme="minorHAnsi" w:hAnsiTheme="minorHAnsi"/>
          <w:bCs/>
        </w:rPr>
        <w:t xml:space="preserve">expect </w:t>
      </w:r>
      <w:r w:rsidR="00F63061">
        <w:rPr>
          <w:rFonts w:asciiTheme="minorHAnsi" w:hAnsiTheme="minorHAnsi"/>
          <w:bCs/>
        </w:rPr>
        <w:t>their level of consumer spending for 201</w:t>
      </w:r>
      <w:r w:rsidR="0021226D">
        <w:rPr>
          <w:rFonts w:asciiTheme="minorHAnsi" w:hAnsiTheme="minorHAnsi"/>
          <w:bCs/>
        </w:rPr>
        <w:t>4</w:t>
      </w:r>
      <w:r w:rsidR="00F63061">
        <w:rPr>
          <w:rFonts w:asciiTheme="minorHAnsi" w:hAnsiTheme="minorHAnsi"/>
          <w:bCs/>
        </w:rPr>
        <w:t xml:space="preserve"> to be more or less than it was for 201</w:t>
      </w:r>
      <w:r w:rsidR="0021226D">
        <w:rPr>
          <w:rFonts w:asciiTheme="minorHAnsi" w:hAnsiTheme="minorHAnsi"/>
          <w:bCs/>
        </w:rPr>
        <w:t>3</w:t>
      </w:r>
      <w:r w:rsidR="00F63061">
        <w:rPr>
          <w:rFonts w:asciiTheme="minorHAnsi" w:hAnsiTheme="minorHAnsi"/>
          <w:bCs/>
        </w:rPr>
        <w:t xml:space="preserve">, the percent </w:t>
      </w:r>
      <w:r w:rsidR="00DD7B99">
        <w:rPr>
          <w:rFonts w:asciiTheme="minorHAnsi" w:hAnsiTheme="minorHAnsi"/>
          <w:bCs/>
        </w:rPr>
        <w:t xml:space="preserve">of consumers who expect to increase their spending </w:t>
      </w:r>
      <w:r w:rsidR="002C318D">
        <w:rPr>
          <w:rFonts w:asciiTheme="minorHAnsi" w:hAnsiTheme="minorHAnsi"/>
          <w:bCs/>
        </w:rPr>
        <w:t>remained steady while the percent who expect to decrease their spending dropped to 20 from 23.</w:t>
      </w:r>
    </w:p>
    <w:p w:rsidR="00F63061" w:rsidRDefault="00F63061" w:rsidP="00342C3E">
      <w:pPr>
        <w:pStyle w:val="BodyText"/>
        <w:jc w:val="both"/>
        <w:rPr>
          <w:rFonts w:asciiTheme="minorHAnsi" w:hAnsiTheme="minorHAnsi"/>
          <w:bCs/>
        </w:rPr>
      </w:pPr>
    </w:p>
    <w:p w:rsidR="00DD7B99" w:rsidRDefault="00DD7B99" w:rsidP="00342C3E">
      <w:pPr>
        <w:pStyle w:val="BodyText"/>
        <w:jc w:val="both"/>
        <w:rPr>
          <w:rFonts w:asciiTheme="minorHAnsi" w:hAnsiTheme="minorHAnsi"/>
          <w:bCs/>
        </w:rPr>
      </w:pPr>
      <w:r>
        <w:rPr>
          <w:noProof/>
        </w:rPr>
        <w:drawing>
          <wp:inline distT="0" distB="0" distL="0" distR="0" wp14:anchorId="508FE997" wp14:editId="3C0131C1">
            <wp:extent cx="5324475" cy="263842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D7B99" w:rsidRDefault="00DD7B99" w:rsidP="00342C3E">
      <w:pPr>
        <w:pStyle w:val="BodyText"/>
        <w:jc w:val="both"/>
        <w:rPr>
          <w:rFonts w:asciiTheme="minorHAnsi" w:hAnsiTheme="minorHAnsi"/>
          <w:bCs/>
        </w:rPr>
      </w:pPr>
    </w:p>
    <w:p w:rsidR="00A95F19" w:rsidRDefault="00877A8B" w:rsidP="009821BD">
      <w:pPr>
        <w:pStyle w:val="BodyText"/>
        <w:jc w:val="both"/>
        <w:rPr>
          <w:rFonts w:asciiTheme="minorHAnsi" w:hAnsiTheme="minorHAnsi"/>
          <w:b/>
          <w:sz w:val="28"/>
          <w:szCs w:val="28"/>
          <w:u w:val="single"/>
        </w:rPr>
      </w:pPr>
      <w:r w:rsidRPr="00A95F19">
        <w:rPr>
          <w:rFonts w:asciiTheme="minorHAnsi" w:hAnsiTheme="minorHAnsi"/>
          <w:b/>
          <w:sz w:val="28"/>
          <w:szCs w:val="28"/>
          <w:u w:val="single"/>
        </w:rPr>
        <w:lastRenderedPageBreak/>
        <w:t>C</w:t>
      </w:r>
      <w:r w:rsidR="00BC6850" w:rsidRPr="00A95F19">
        <w:rPr>
          <w:rFonts w:asciiTheme="minorHAnsi" w:hAnsiTheme="minorHAnsi"/>
          <w:b/>
          <w:sz w:val="28"/>
          <w:szCs w:val="28"/>
          <w:u w:val="single"/>
        </w:rPr>
        <w:t>onsumer Savings</w:t>
      </w:r>
    </w:p>
    <w:p w:rsidR="00A95F19" w:rsidRDefault="00A95F19" w:rsidP="009821BD">
      <w:pPr>
        <w:pStyle w:val="BodyText"/>
        <w:jc w:val="both"/>
        <w:rPr>
          <w:rFonts w:asciiTheme="minorHAnsi" w:hAnsiTheme="minorHAnsi"/>
          <w:b/>
          <w:sz w:val="28"/>
          <w:szCs w:val="28"/>
          <w:u w:val="single"/>
        </w:rPr>
      </w:pPr>
    </w:p>
    <w:p w:rsidR="00BC6850" w:rsidRDefault="00BC6850" w:rsidP="009821BD">
      <w:pPr>
        <w:pStyle w:val="BodyText"/>
        <w:jc w:val="both"/>
        <w:rPr>
          <w:rFonts w:asciiTheme="minorHAnsi" w:hAnsiTheme="minorHAnsi"/>
        </w:rPr>
      </w:pPr>
      <w:r>
        <w:rPr>
          <w:rFonts w:asciiTheme="minorHAnsi" w:hAnsiTheme="minorHAnsi"/>
        </w:rPr>
        <w:t xml:space="preserve">    </w:t>
      </w:r>
      <w:r w:rsidR="00A95F19">
        <w:rPr>
          <w:rFonts w:asciiTheme="minorHAnsi" w:hAnsiTheme="minorHAnsi"/>
        </w:rPr>
        <w:t xml:space="preserve"> </w:t>
      </w:r>
      <w:r w:rsidR="006558E4">
        <w:rPr>
          <w:rFonts w:asciiTheme="minorHAnsi" w:hAnsiTheme="minorHAnsi"/>
        </w:rPr>
        <w:t xml:space="preserve">Many consumer spending decisions are based on the availability of money that is in the form of savings.  </w:t>
      </w:r>
      <w:r>
        <w:rPr>
          <w:rFonts w:asciiTheme="minorHAnsi" w:hAnsiTheme="minorHAnsi"/>
        </w:rPr>
        <w:t xml:space="preserve">When asked about the amount of their income that they are currently saving compared to last year, </w:t>
      </w:r>
      <w:r w:rsidR="00AB5D71">
        <w:rPr>
          <w:rFonts w:asciiTheme="minorHAnsi" w:hAnsiTheme="minorHAnsi"/>
        </w:rPr>
        <w:t>26</w:t>
      </w:r>
      <w:r w:rsidR="0097126A">
        <w:rPr>
          <w:rFonts w:asciiTheme="minorHAnsi" w:hAnsiTheme="minorHAnsi"/>
        </w:rPr>
        <w:t xml:space="preserve"> </w:t>
      </w:r>
      <w:r>
        <w:rPr>
          <w:rFonts w:asciiTheme="minorHAnsi" w:hAnsiTheme="minorHAnsi"/>
        </w:rPr>
        <w:t>percent reported saving more</w:t>
      </w:r>
      <w:r w:rsidR="000A7511">
        <w:rPr>
          <w:rFonts w:asciiTheme="minorHAnsi" w:hAnsiTheme="minorHAnsi"/>
        </w:rPr>
        <w:t xml:space="preserve"> (</w:t>
      </w:r>
      <w:r w:rsidR="00AB5D71">
        <w:rPr>
          <w:rFonts w:asciiTheme="minorHAnsi" w:hAnsiTheme="minorHAnsi"/>
        </w:rPr>
        <w:t>down from 30 percent in May</w:t>
      </w:r>
      <w:r w:rsidR="003C1E90">
        <w:rPr>
          <w:rFonts w:asciiTheme="minorHAnsi" w:hAnsiTheme="minorHAnsi"/>
        </w:rPr>
        <w:t>)</w:t>
      </w:r>
      <w:r>
        <w:rPr>
          <w:rFonts w:asciiTheme="minorHAnsi" w:hAnsiTheme="minorHAnsi"/>
        </w:rPr>
        <w:t xml:space="preserve">, and </w:t>
      </w:r>
      <w:r w:rsidR="00AB5D71">
        <w:rPr>
          <w:rFonts w:asciiTheme="minorHAnsi" w:hAnsiTheme="minorHAnsi"/>
        </w:rPr>
        <w:t>25</w:t>
      </w:r>
      <w:r w:rsidR="0097126A">
        <w:rPr>
          <w:rFonts w:asciiTheme="minorHAnsi" w:hAnsiTheme="minorHAnsi"/>
        </w:rPr>
        <w:t xml:space="preserve"> </w:t>
      </w:r>
      <w:r>
        <w:rPr>
          <w:rFonts w:asciiTheme="minorHAnsi" w:hAnsiTheme="minorHAnsi"/>
        </w:rPr>
        <w:t>percent reported saving less than they were saving last year</w:t>
      </w:r>
      <w:r w:rsidR="003C1E90">
        <w:rPr>
          <w:rFonts w:asciiTheme="minorHAnsi" w:hAnsiTheme="minorHAnsi"/>
        </w:rPr>
        <w:t xml:space="preserve"> (</w:t>
      </w:r>
      <w:r w:rsidR="00AB5D71">
        <w:rPr>
          <w:rFonts w:asciiTheme="minorHAnsi" w:hAnsiTheme="minorHAnsi"/>
        </w:rPr>
        <w:t>up from 23 percent in May</w:t>
      </w:r>
      <w:r w:rsidR="003C1E90">
        <w:rPr>
          <w:rFonts w:asciiTheme="minorHAnsi" w:hAnsiTheme="minorHAnsi"/>
        </w:rPr>
        <w:t>)</w:t>
      </w:r>
      <w:r>
        <w:rPr>
          <w:rFonts w:asciiTheme="minorHAnsi" w:hAnsiTheme="minorHAnsi"/>
        </w:rPr>
        <w:t xml:space="preserve">.  </w:t>
      </w:r>
      <w:r w:rsidR="000A7511">
        <w:rPr>
          <w:rFonts w:asciiTheme="minorHAnsi" w:hAnsiTheme="minorHAnsi"/>
        </w:rPr>
        <w:t xml:space="preserve">This suggests a </w:t>
      </w:r>
      <w:r w:rsidR="00AB5D71">
        <w:rPr>
          <w:rFonts w:asciiTheme="minorHAnsi" w:hAnsiTheme="minorHAnsi"/>
        </w:rPr>
        <w:t xml:space="preserve">slight decrease in </w:t>
      </w:r>
      <w:r w:rsidR="000A7511">
        <w:rPr>
          <w:rFonts w:asciiTheme="minorHAnsi" w:hAnsiTheme="minorHAnsi"/>
        </w:rPr>
        <w:t>the level of consumers’ savings.</w:t>
      </w:r>
      <w:r w:rsidR="00F906AB">
        <w:rPr>
          <w:rFonts w:asciiTheme="minorHAnsi" w:hAnsiTheme="minorHAnsi"/>
        </w:rPr>
        <w:t xml:space="preserve">  </w:t>
      </w:r>
      <w:r w:rsidR="0093396A">
        <w:rPr>
          <w:rFonts w:asciiTheme="minorHAnsi" w:hAnsiTheme="minorHAnsi"/>
        </w:rPr>
        <w:t>W</w:t>
      </w:r>
      <w:r w:rsidR="003C1E90">
        <w:rPr>
          <w:rFonts w:asciiTheme="minorHAnsi" w:hAnsiTheme="minorHAnsi"/>
        </w:rPr>
        <w:t xml:space="preserve">hen asked about future savings, </w:t>
      </w:r>
      <w:r w:rsidR="0097126A">
        <w:rPr>
          <w:rFonts w:asciiTheme="minorHAnsi" w:hAnsiTheme="minorHAnsi"/>
        </w:rPr>
        <w:t>34</w:t>
      </w:r>
      <w:r w:rsidR="003C1E90">
        <w:rPr>
          <w:rFonts w:asciiTheme="minorHAnsi" w:hAnsiTheme="minorHAnsi"/>
        </w:rPr>
        <w:t xml:space="preserve"> percent expect to increase their level of saving in the future (</w:t>
      </w:r>
      <w:r w:rsidR="00AB5D71">
        <w:rPr>
          <w:rFonts w:asciiTheme="minorHAnsi" w:hAnsiTheme="minorHAnsi"/>
        </w:rPr>
        <w:t>unchanged from May</w:t>
      </w:r>
      <w:r w:rsidR="003C1E90">
        <w:rPr>
          <w:rFonts w:asciiTheme="minorHAnsi" w:hAnsiTheme="minorHAnsi"/>
        </w:rPr>
        <w:t xml:space="preserve">) and </w:t>
      </w:r>
      <w:r w:rsidR="00AB5D71">
        <w:rPr>
          <w:rFonts w:asciiTheme="minorHAnsi" w:hAnsiTheme="minorHAnsi"/>
        </w:rPr>
        <w:t>18</w:t>
      </w:r>
      <w:r w:rsidR="003C1E90">
        <w:rPr>
          <w:rFonts w:asciiTheme="minorHAnsi" w:hAnsiTheme="minorHAnsi"/>
        </w:rPr>
        <w:t xml:space="preserve"> percent expect to decrease their level of saving in the future (</w:t>
      </w:r>
      <w:r w:rsidR="00AB5D71">
        <w:rPr>
          <w:rFonts w:asciiTheme="minorHAnsi" w:hAnsiTheme="minorHAnsi"/>
        </w:rPr>
        <w:t>down from 20 percent in May</w:t>
      </w:r>
      <w:r w:rsidR="003C1E90">
        <w:rPr>
          <w:rFonts w:asciiTheme="minorHAnsi" w:hAnsiTheme="minorHAnsi"/>
        </w:rPr>
        <w:t xml:space="preserve">).  </w:t>
      </w:r>
    </w:p>
    <w:p w:rsidR="00CC4EA6" w:rsidRDefault="00CC4EA6" w:rsidP="00B661BD">
      <w:pPr>
        <w:pStyle w:val="BodyText"/>
        <w:jc w:val="both"/>
        <w:rPr>
          <w:rFonts w:asciiTheme="minorHAnsi" w:hAnsiTheme="minorHAnsi"/>
          <w:bCs/>
        </w:rPr>
      </w:pPr>
    </w:p>
    <w:p w:rsidR="0070722D" w:rsidRDefault="0070722D" w:rsidP="00B661BD">
      <w:pPr>
        <w:pStyle w:val="BodyText"/>
        <w:jc w:val="both"/>
        <w:rPr>
          <w:rFonts w:asciiTheme="minorHAnsi" w:hAnsiTheme="minorHAnsi"/>
          <w:bCs/>
        </w:rPr>
      </w:pPr>
    </w:p>
    <w:p w:rsidR="00915403" w:rsidRPr="00CA0D29" w:rsidRDefault="00915403" w:rsidP="00915403">
      <w:pPr>
        <w:rPr>
          <w:rFonts w:asciiTheme="minorHAnsi" w:hAnsiTheme="minorHAnsi"/>
          <w:b/>
          <w:bCs/>
          <w:sz w:val="28"/>
          <w:szCs w:val="28"/>
          <w:u w:val="single"/>
        </w:rPr>
      </w:pPr>
      <w:r w:rsidRPr="00CA0D29">
        <w:rPr>
          <w:rFonts w:asciiTheme="minorHAnsi" w:hAnsiTheme="minorHAnsi"/>
          <w:b/>
          <w:bCs/>
          <w:sz w:val="28"/>
          <w:szCs w:val="28"/>
          <w:u w:val="single"/>
        </w:rPr>
        <w:t>Taxes</w:t>
      </w:r>
    </w:p>
    <w:p w:rsidR="00915403" w:rsidRPr="00A16353" w:rsidRDefault="00915403" w:rsidP="00915403">
      <w:pPr>
        <w:rPr>
          <w:rFonts w:asciiTheme="minorHAnsi" w:hAnsiTheme="minorHAnsi"/>
          <w:bCs/>
          <w:sz w:val="24"/>
        </w:rPr>
      </w:pPr>
    </w:p>
    <w:p w:rsidR="00915403" w:rsidRDefault="00915403" w:rsidP="00915403">
      <w:pPr>
        <w:jc w:val="both"/>
        <w:rPr>
          <w:rFonts w:asciiTheme="minorHAnsi" w:hAnsiTheme="minorHAnsi"/>
          <w:bCs/>
          <w:sz w:val="24"/>
        </w:rPr>
      </w:pPr>
      <w:r w:rsidRPr="00A16353">
        <w:rPr>
          <w:rFonts w:asciiTheme="minorHAnsi" w:hAnsiTheme="minorHAnsi"/>
          <w:bCs/>
          <w:sz w:val="24"/>
        </w:rPr>
        <w:t xml:space="preserve">     </w:t>
      </w:r>
      <w:r w:rsidR="00352B5E">
        <w:rPr>
          <w:rFonts w:asciiTheme="minorHAnsi" w:hAnsiTheme="minorHAnsi"/>
          <w:bCs/>
          <w:sz w:val="24"/>
        </w:rPr>
        <w:t>C</w:t>
      </w:r>
      <w:r w:rsidR="00F906AB">
        <w:rPr>
          <w:rFonts w:asciiTheme="minorHAnsi" w:hAnsiTheme="minorHAnsi"/>
          <w:bCs/>
          <w:sz w:val="24"/>
        </w:rPr>
        <w:t xml:space="preserve">onsumers’ ability to spend </w:t>
      </w:r>
      <w:r w:rsidR="00352B5E">
        <w:rPr>
          <w:rFonts w:asciiTheme="minorHAnsi" w:hAnsiTheme="minorHAnsi"/>
          <w:bCs/>
          <w:sz w:val="24"/>
        </w:rPr>
        <w:t xml:space="preserve">can be significantly impacted by </w:t>
      </w:r>
      <w:r w:rsidR="00F906AB">
        <w:rPr>
          <w:rFonts w:asciiTheme="minorHAnsi" w:hAnsiTheme="minorHAnsi"/>
          <w:bCs/>
          <w:sz w:val="24"/>
        </w:rPr>
        <w:t xml:space="preserve">the amount of money that they must pay in taxes.  </w:t>
      </w:r>
      <w:r w:rsidR="002C318D">
        <w:rPr>
          <w:rFonts w:asciiTheme="minorHAnsi" w:hAnsiTheme="minorHAnsi"/>
          <w:bCs/>
          <w:sz w:val="24"/>
        </w:rPr>
        <w:t>F</w:t>
      </w:r>
      <w:r>
        <w:rPr>
          <w:rFonts w:asciiTheme="minorHAnsi" w:hAnsiTheme="minorHAnsi"/>
          <w:bCs/>
          <w:sz w:val="24"/>
        </w:rPr>
        <w:t xml:space="preserve">ears of higher taxes in the future </w:t>
      </w:r>
      <w:r w:rsidR="00F906AB">
        <w:rPr>
          <w:rFonts w:asciiTheme="minorHAnsi" w:hAnsiTheme="minorHAnsi"/>
          <w:bCs/>
          <w:sz w:val="24"/>
        </w:rPr>
        <w:t xml:space="preserve">continue to </w:t>
      </w:r>
      <w:r w:rsidR="002C318D">
        <w:rPr>
          <w:rFonts w:asciiTheme="minorHAnsi" w:hAnsiTheme="minorHAnsi"/>
          <w:bCs/>
          <w:sz w:val="24"/>
        </w:rPr>
        <w:t>wane</w:t>
      </w:r>
      <w:r w:rsidR="003C1E90">
        <w:rPr>
          <w:rFonts w:asciiTheme="minorHAnsi" w:hAnsiTheme="minorHAnsi"/>
          <w:bCs/>
          <w:sz w:val="24"/>
        </w:rPr>
        <w:t xml:space="preserve">.  </w:t>
      </w:r>
      <w:r>
        <w:rPr>
          <w:rFonts w:asciiTheme="minorHAnsi" w:hAnsiTheme="minorHAnsi"/>
          <w:bCs/>
          <w:sz w:val="24"/>
        </w:rPr>
        <w:t xml:space="preserve">The percentage of consumers who expect their taxes to increase in the future </w:t>
      </w:r>
      <w:r w:rsidR="002C318D">
        <w:rPr>
          <w:rFonts w:asciiTheme="minorHAnsi" w:hAnsiTheme="minorHAnsi"/>
          <w:bCs/>
          <w:sz w:val="24"/>
        </w:rPr>
        <w:t xml:space="preserve">fell to 50 </w:t>
      </w:r>
      <w:r w:rsidR="003C1E90">
        <w:rPr>
          <w:rFonts w:asciiTheme="minorHAnsi" w:hAnsiTheme="minorHAnsi"/>
          <w:bCs/>
          <w:sz w:val="24"/>
        </w:rPr>
        <w:t>from 6</w:t>
      </w:r>
      <w:r w:rsidR="002C318D">
        <w:rPr>
          <w:rFonts w:asciiTheme="minorHAnsi" w:hAnsiTheme="minorHAnsi"/>
          <w:bCs/>
          <w:sz w:val="24"/>
        </w:rPr>
        <w:t>2</w:t>
      </w:r>
      <w:r w:rsidR="003C1E90">
        <w:rPr>
          <w:rFonts w:asciiTheme="minorHAnsi" w:hAnsiTheme="minorHAnsi"/>
          <w:bCs/>
          <w:sz w:val="24"/>
        </w:rPr>
        <w:t xml:space="preserve"> in </w:t>
      </w:r>
      <w:r w:rsidR="002C318D">
        <w:rPr>
          <w:rFonts w:asciiTheme="minorHAnsi" w:hAnsiTheme="minorHAnsi"/>
          <w:bCs/>
          <w:sz w:val="24"/>
        </w:rPr>
        <w:t>May</w:t>
      </w:r>
      <w:r w:rsidR="00F906AB">
        <w:rPr>
          <w:rFonts w:asciiTheme="minorHAnsi" w:hAnsiTheme="minorHAnsi"/>
          <w:bCs/>
          <w:sz w:val="24"/>
        </w:rPr>
        <w:t>.</w:t>
      </w:r>
      <w:r w:rsidR="003C1E90">
        <w:rPr>
          <w:rFonts w:asciiTheme="minorHAnsi" w:hAnsiTheme="minorHAnsi"/>
          <w:bCs/>
          <w:sz w:val="24"/>
        </w:rPr>
        <w:t xml:space="preserve">  </w:t>
      </w:r>
    </w:p>
    <w:p w:rsidR="0070722D" w:rsidRDefault="0070722D" w:rsidP="00915403">
      <w:pPr>
        <w:jc w:val="both"/>
        <w:rPr>
          <w:rFonts w:asciiTheme="minorHAnsi" w:hAnsiTheme="minorHAnsi"/>
          <w:bCs/>
          <w:sz w:val="24"/>
        </w:rPr>
      </w:pPr>
    </w:p>
    <w:p w:rsidR="00915403" w:rsidRPr="00480D3A" w:rsidRDefault="00915403" w:rsidP="00915403">
      <w:pPr>
        <w:jc w:val="center"/>
        <w:rPr>
          <w:bCs/>
          <w:sz w:val="24"/>
        </w:rPr>
      </w:pPr>
      <w:r>
        <w:rPr>
          <w:noProof/>
          <w:sz w:val="24"/>
        </w:rPr>
        <w:drawing>
          <wp:inline distT="0" distB="0" distL="0" distR="0" wp14:anchorId="5D606AA6" wp14:editId="56E856AB">
            <wp:extent cx="4943475" cy="2914650"/>
            <wp:effectExtent l="0" t="0" r="0"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5403" w:rsidRPr="00CA0D29" w:rsidRDefault="0070722D" w:rsidP="00915403">
      <w:pPr>
        <w:rPr>
          <w:rFonts w:asciiTheme="minorHAnsi" w:hAnsiTheme="minorHAnsi"/>
          <w:b/>
          <w:bCs/>
          <w:sz w:val="28"/>
          <w:szCs w:val="28"/>
          <w:u w:val="single"/>
        </w:rPr>
      </w:pPr>
      <w:r>
        <w:rPr>
          <w:rFonts w:asciiTheme="minorHAnsi" w:hAnsiTheme="minorHAnsi"/>
          <w:b/>
          <w:bCs/>
          <w:sz w:val="28"/>
          <w:szCs w:val="28"/>
          <w:u w:val="single"/>
        </w:rPr>
        <w:br w:type="column"/>
      </w:r>
      <w:r w:rsidR="00915403" w:rsidRPr="00CA0D29">
        <w:rPr>
          <w:rFonts w:asciiTheme="minorHAnsi" w:hAnsiTheme="minorHAnsi"/>
          <w:b/>
          <w:bCs/>
          <w:sz w:val="28"/>
          <w:szCs w:val="28"/>
          <w:u w:val="single"/>
        </w:rPr>
        <w:lastRenderedPageBreak/>
        <w:t>Consumer Investments: The Stock Market</w:t>
      </w:r>
    </w:p>
    <w:p w:rsidR="00915403" w:rsidRPr="00A16353" w:rsidRDefault="00915403" w:rsidP="00915403">
      <w:pPr>
        <w:rPr>
          <w:rFonts w:asciiTheme="minorHAnsi" w:hAnsiTheme="minorHAnsi"/>
          <w:bCs/>
          <w:sz w:val="24"/>
        </w:rPr>
      </w:pPr>
    </w:p>
    <w:p w:rsidR="00915403" w:rsidRDefault="002C318D" w:rsidP="00915403">
      <w:pPr>
        <w:jc w:val="both"/>
        <w:rPr>
          <w:rFonts w:asciiTheme="minorHAnsi" w:hAnsiTheme="minorHAnsi"/>
          <w:bCs/>
          <w:sz w:val="24"/>
        </w:rPr>
      </w:pPr>
      <w:r>
        <w:rPr>
          <w:rFonts w:asciiTheme="minorHAnsi" w:hAnsiTheme="minorHAnsi"/>
          <w:bCs/>
          <w:sz w:val="24"/>
        </w:rPr>
        <w:t xml:space="preserve">     Uncertainty surrounding recent world events has apparently caused consumer</w:t>
      </w:r>
      <w:r w:rsidR="0093396A">
        <w:rPr>
          <w:rFonts w:asciiTheme="minorHAnsi" w:hAnsiTheme="minorHAnsi"/>
          <w:bCs/>
          <w:sz w:val="24"/>
        </w:rPr>
        <w:t>s</w:t>
      </w:r>
      <w:r>
        <w:rPr>
          <w:rFonts w:asciiTheme="minorHAnsi" w:hAnsiTheme="minorHAnsi"/>
          <w:bCs/>
          <w:sz w:val="24"/>
        </w:rPr>
        <w:t xml:space="preserve"> to lose some optimism regarding the stock market.  Compared to May, fewer consumers expect the stock market to rise in the next 12 months, wh</w:t>
      </w:r>
      <w:r w:rsidR="0093396A">
        <w:rPr>
          <w:rFonts w:asciiTheme="minorHAnsi" w:hAnsiTheme="minorHAnsi"/>
          <w:bCs/>
          <w:sz w:val="24"/>
        </w:rPr>
        <w:t>ereas</w:t>
      </w:r>
      <w:r>
        <w:rPr>
          <w:rFonts w:asciiTheme="minorHAnsi" w:hAnsiTheme="minorHAnsi"/>
          <w:bCs/>
          <w:sz w:val="24"/>
        </w:rPr>
        <w:t xml:space="preserve"> more consumers expect the stock market to decline.  </w:t>
      </w:r>
    </w:p>
    <w:p w:rsidR="0070722D" w:rsidRDefault="0070722D" w:rsidP="00915403">
      <w:pPr>
        <w:jc w:val="both"/>
        <w:rPr>
          <w:rFonts w:asciiTheme="minorHAnsi" w:hAnsiTheme="minorHAnsi"/>
          <w:bCs/>
          <w:sz w:val="24"/>
        </w:rPr>
      </w:pPr>
    </w:p>
    <w:p w:rsidR="00352B5E" w:rsidRDefault="00352B5E" w:rsidP="00915403">
      <w:pPr>
        <w:jc w:val="both"/>
        <w:rPr>
          <w:rFonts w:asciiTheme="minorHAnsi" w:hAnsiTheme="minorHAnsi"/>
          <w:bCs/>
          <w:sz w:val="24"/>
        </w:rPr>
      </w:pPr>
    </w:p>
    <w:p w:rsidR="00915403" w:rsidRPr="00480D3A" w:rsidRDefault="00915403" w:rsidP="00915403">
      <w:pPr>
        <w:jc w:val="center"/>
        <w:rPr>
          <w:bCs/>
          <w:sz w:val="24"/>
        </w:rPr>
      </w:pPr>
      <w:r>
        <w:rPr>
          <w:noProof/>
          <w:sz w:val="24"/>
        </w:rPr>
        <w:drawing>
          <wp:inline distT="0" distB="0" distL="0" distR="0" wp14:anchorId="2A51BB55" wp14:editId="1C8C8439">
            <wp:extent cx="5200650" cy="2524125"/>
            <wp:effectExtent l="0" t="0" r="0" b="0"/>
            <wp:docPr id="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5403" w:rsidRDefault="00915403" w:rsidP="00915403">
      <w:pPr>
        <w:pStyle w:val="BodyText"/>
        <w:jc w:val="both"/>
        <w:rPr>
          <w:rFonts w:asciiTheme="minorHAnsi" w:hAnsiTheme="minorHAnsi"/>
          <w:bCs/>
        </w:rPr>
      </w:pPr>
    </w:p>
    <w:p w:rsidR="00915403" w:rsidRPr="000D12D0" w:rsidRDefault="00915403" w:rsidP="00915403">
      <w:pPr>
        <w:rPr>
          <w:rFonts w:asciiTheme="minorHAnsi" w:hAnsiTheme="minorHAnsi"/>
          <w:b/>
          <w:bCs/>
          <w:sz w:val="28"/>
          <w:szCs w:val="28"/>
          <w:u w:val="single"/>
        </w:rPr>
      </w:pPr>
      <w:r w:rsidRPr="000D12D0">
        <w:rPr>
          <w:rFonts w:asciiTheme="minorHAnsi" w:hAnsiTheme="minorHAnsi"/>
          <w:b/>
          <w:bCs/>
          <w:sz w:val="28"/>
          <w:szCs w:val="28"/>
          <w:u w:val="single"/>
        </w:rPr>
        <w:t xml:space="preserve">Perceptions of the Economy:  Comparison to </w:t>
      </w:r>
      <w:proofErr w:type="gramStart"/>
      <w:r w:rsidRPr="000D12D0">
        <w:rPr>
          <w:rFonts w:asciiTheme="minorHAnsi" w:hAnsiTheme="minorHAnsi"/>
          <w:b/>
          <w:bCs/>
          <w:sz w:val="28"/>
          <w:szCs w:val="28"/>
          <w:u w:val="single"/>
        </w:rPr>
        <w:t>The</w:t>
      </w:r>
      <w:proofErr w:type="gramEnd"/>
      <w:r w:rsidRPr="000D12D0">
        <w:rPr>
          <w:rFonts w:asciiTheme="minorHAnsi" w:hAnsiTheme="minorHAnsi"/>
          <w:b/>
          <w:bCs/>
          <w:sz w:val="28"/>
          <w:szCs w:val="28"/>
          <w:u w:val="single"/>
        </w:rPr>
        <w:t xml:space="preserve"> Nation</w:t>
      </w:r>
    </w:p>
    <w:p w:rsidR="00915403" w:rsidRPr="00A16353" w:rsidRDefault="00915403" w:rsidP="00915403">
      <w:pPr>
        <w:rPr>
          <w:rFonts w:asciiTheme="minorHAnsi" w:hAnsiTheme="minorHAnsi"/>
          <w:b/>
          <w:bCs/>
          <w:sz w:val="24"/>
          <w:u w:val="single"/>
        </w:rPr>
      </w:pPr>
    </w:p>
    <w:p w:rsidR="00915403" w:rsidRDefault="00915403" w:rsidP="00915403">
      <w:pPr>
        <w:pStyle w:val="BodyText"/>
        <w:jc w:val="both"/>
        <w:rPr>
          <w:rFonts w:asciiTheme="minorHAnsi" w:hAnsiTheme="minorHAnsi"/>
        </w:rPr>
      </w:pPr>
      <w:r w:rsidRPr="00A16353">
        <w:rPr>
          <w:rFonts w:asciiTheme="minorHAnsi" w:hAnsiTheme="minorHAnsi"/>
        </w:rPr>
        <w:t xml:space="preserve">     </w:t>
      </w:r>
      <w:r w:rsidR="002C318D">
        <w:rPr>
          <w:rFonts w:asciiTheme="minorHAnsi" w:hAnsiTheme="minorHAnsi"/>
        </w:rPr>
        <w:t xml:space="preserve">While local consumers </w:t>
      </w:r>
      <w:r w:rsidR="00654499">
        <w:rPr>
          <w:rFonts w:asciiTheme="minorHAnsi" w:hAnsiTheme="minorHAnsi"/>
        </w:rPr>
        <w:t xml:space="preserve">have some similar views of the economy as compared to </w:t>
      </w:r>
      <w:r>
        <w:rPr>
          <w:rFonts w:asciiTheme="minorHAnsi" w:hAnsiTheme="minorHAnsi"/>
        </w:rPr>
        <w:t>consumers across the rest of the country</w:t>
      </w:r>
      <w:r w:rsidR="00654499">
        <w:rPr>
          <w:rFonts w:asciiTheme="minorHAnsi" w:hAnsiTheme="minorHAnsi"/>
        </w:rPr>
        <w:t>, local consumers are noticeable more optimistic about the future of the job market and the future of their personal finances</w:t>
      </w:r>
      <w:r>
        <w:rPr>
          <w:rFonts w:asciiTheme="minorHAnsi" w:hAnsiTheme="minorHAnsi"/>
        </w:rPr>
        <w:t xml:space="preserve">.  </w:t>
      </w:r>
    </w:p>
    <w:p w:rsidR="00915403" w:rsidRPr="00A16353" w:rsidRDefault="00915403" w:rsidP="00915403">
      <w:pPr>
        <w:pStyle w:val="BodyTex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8"/>
        <w:gridCol w:w="900"/>
        <w:gridCol w:w="1008"/>
      </w:tblGrid>
      <w:tr w:rsidR="00915403" w:rsidRPr="00A16353" w:rsidTr="00B0710E">
        <w:tc>
          <w:tcPr>
            <w:tcW w:w="6948" w:type="dxa"/>
            <w:tcBorders>
              <w:top w:val="single" w:sz="4" w:space="0" w:color="auto"/>
              <w:left w:val="single" w:sz="4" w:space="0" w:color="auto"/>
              <w:bottom w:val="single" w:sz="4" w:space="0" w:color="auto"/>
              <w:right w:val="nil"/>
            </w:tcBorders>
            <w:shd w:val="clear" w:color="auto" w:fill="C6D9F1" w:themeFill="text2" w:themeFillTint="33"/>
            <w:vAlign w:val="center"/>
          </w:tcPr>
          <w:p w:rsidR="00915403" w:rsidRPr="00851542" w:rsidRDefault="00915403" w:rsidP="00B0710E">
            <w:pPr>
              <w:rPr>
                <w:rFonts w:asciiTheme="minorHAnsi" w:hAnsiTheme="minorHAnsi"/>
                <w:sz w:val="28"/>
                <w:szCs w:val="28"/>
              </w:rPr>
            </w:pPr>
            <w:r w:rsidRPr="00851542">
              <w:rPr>
                <w:rFonts w:asciiTheme="minorHAnsi" w:hAnsiTheme="minorHAnsi"/>
                <w:sz w:val="28"/>
                <w:szCs w:val="28"/>
              </w:rPr>
              <w:t xml:space="preserve">Comparing Middle Tennessee Consumers to </w:t>
            </w:r>
          </w:p>
          <w:p w:rsidR="00915403" w:rsidRPr="00851542" w:rsidRDefault="00915403" w:rsidP="00B0710E">
            <w:pPr>
              <w:rPr>
                <w:rFonts w:asciiTheme="minorHAnsi" w:hAnsiTheme="minorHAnsi"/>
                <w:sz w:val="28"/>
                <w:szCs w:val="28"/>
              </w:rPr>
            </w:pPr>
            <w:r w:rsidRPr="00851542">
              <w:rPr>
                <w:rFonts w:asciiTheme="minorHAnsi" w:hAnsiTheme="minorHAnsi"/>
                <w:sz w:val="28"/>
                <w:szCs w:val="28"/>
              </w:rPr>
              <w:t>Consumers Across the Country as a Whole</w:t>
            </w:r>
          </w:p>
        </w:tc>
        <w:tc>
          <w:tcPr>
            <w:tcW w:w="900" w:type="dxa"/>
            <w:tcBorders>
              <w:top w:val="single" w:sz="4" w:space="0" w:color="auto"/>
              <w:left w:val="nil"/>
              <w:bottom w:val="single" w:sz="4" w:space="0" w:color="auto"/>
              <w:right w:val="nil"/>
            </w:tcBorders>
            <w:shd w:val="clear" w:color="auto" w:fill="C6D9F1" w:themeFill="text2" w:themeFillTint="33"/>
          </w:tcPr>
          <w:p w:rsidR="00915403" w:rsidRPr="00851542" w:rsidRDefault="00915403" w:rsidP="00B0710E">
            <w:pPr>
              <w:jc w:val="center"/>
              <w:rPr>
                <w:rFonts w:asciiTheme="minorHAnsi" w:hAnsiTheme="minorHAnsi"/>
                <w:bCs/>
                <w:sz w:val="24"/>
                <w:szCs w:val="24"/>
              </w:rPr>
            </w:pPr>
          </w:p>
          <w:p w:rsidR="00915403" w:rsidRPr="00851542" w:rsidRDefault="00915403" w:rsidP="00B0710E">
            <w:pPr>
              <w:jc w:val="center"/>
              <w:rPr>
                <w:rFonts w:asciiTheme="minorHAnsi" w:hAnsiTheme="minorHAnsi"/>
                <w:bCs/>
                <w:sz w:val="24"/>
                <w:szCs w:val="24"/>
              </w:rPr>
            </w:pPr>
            <w:r w:rsidRPr="00851542">
              <w:rPr>
                <w:rFonts w:asciiTheme="minorHAnsi" w:hAnsiTheme="minorHAnsi"/>
                <w:bCs/>
                <w:sz w:val="24"/>
                <w:szCs w:val="24"/>
              </w:rPr>
              <w:t>Nation</w:t>
            </w:r>
          </w:p>
          <w:p w:rsidR="00915403" w:rsidRPr="00851542" w:rsidRDefault="00915403" w:rsidP="00B0710E">
            <w:pPr>
              <w:jc w:val="center"/>
              <w:rPr>
                <w:rFonts w:asciiTheme="minorHAnsi" w:hAnsiTheme="minorHAnsi"/>
                <w:bCs/>
                <w:sz w:val="24"/>
                <w:szCs w:val="24"/>
              </w:rPr>
            </w:pPr>
            <w:r w:rsidRPr="00851542">
              <w:rPr>
                <w:rFonts w:asciiTheme="minorHAnsi" w:hAnsiTheme="minorHAnsi"/>
                <w:bCs/>
                <w:sz w:val="24"/>
                <w:szCs w:val="24"/>
              </w:rPr>
              <w:t>(%)</w:t>
            </w:r>
          </w:p>
        </w:tc>
        <w:tc>
          <w:tcPr>
            <w:tcW w:w="1008" w:type="dxa"/>
            <w:tcBorders>
              <w:top w:val="single" w:sz="4" w:space="0" w:color="auto"/>
              <w:left w:val="nil"/>
              <w:bottom w:val="single" w:sz="4" w:space="0" w:color="auto"/>
              <w:right w:val="single" w:sz="4" w:space="0" w:color="auto"/>
            </w:tcBorders>
            <w:shd w:val="clear" w:color="auto" w:fill="C6D9F1" w:themeFill="text2" w:themeFillTint="33"/>
          </w:tcPr>
          <w:p w:rsidR="00915403" w:rsidRPr="00851542" w:rsidRDefault="00915403" w:rsidP="00B0710E">
            <w:pPr>
              <w:jc w:val="center"/>
              <w:rPr>
                <w:rFonts w:asciiTheme="minorHAnsi" w:hAnsiTheme="minorHAnsi"/>
                <w:bCs/>
                <w:sz w:val="24"/>
                <w:szCs w:val="24"/>
              </w:rPr>
            </w:pPr>
            <w:r w:rsidRPr="00851542">
              <w:rPr>
                <w:rFonts w:asciiTheme="minorHAnsi" w:hAnsiTheme="minorHAnsi"/>
                <w:bCs/>
                <w:sz w:val="24"/>
                <w:szCs w:val="24"/>
              </w:rPr>
              <w:t>Mid.</w:t>
            </w:r>
          </w:p>
          <w:p w:rsidR="00915403" w:rsidRPr="00851542" w:rsidRDefault="00915403" w:rsidP="00B0710E">
            <w:pPr>
              <w:jc w:val="center"/>
              <w:rPr>
                <w:rFonts w:asciiTheme="minorHAnsi" w:hAnsiTheme="minorHAnsi"/>
                <w:bCs/>
                <w:sz w:val="24"/>
                <w:szCs w:val="24"/>
              </w:rPr>
            </w:pPr>
            <w:r w:rsidRPr="00851542">
              <w:rPr>
                <w:rFonts w:asciiTheme="minorHAnsi" w:hAnsiTheme="minorHAnsi"/>
                <w:bCs/>
                <w:sz w:val="24"/>
                <w:szCs w:val="24"/>
              </w:rPr>
              <w:t>Tenn.</w:t>
            </w:r>
          </w:p>
          <w:p w:rsidR="00915403" w:rsidRPr="00851542" w:rsidRDefault="00915403" w:rsidP="00B0710E">
            <w:pPr>
              <w:jc w:val="center"/>
              <w:rPr>
                <w:rFonts w:asciiTheme="minorHAnsi" w:hAnsiTheme="minorHAnsi"/>
                <w:bCs/>
                <w:sz w:val="24"/>
                <w:szCs w:val="24"/>
              </w:rPr>
            </w:pPr>
            <w:r w:rsidRPr="00851542">
              <w:rPr>
                <w:rFonts w:asciiTheme="minorHAnsi" w:hAnsiTheme="minorHAnsi"/>
                <w:bCs/>
                <w:sz w:val="24"/>
                <w:szCs w:val="24"/>
              </w:rPr>
              <w:t>(%)</w:t>
            </w:r>
          </w:p>
        </w:tc>
      </w:tr>
      <w:tr w:rsidR="00915403" w:rsidRPr="00A16353" w:rsidTr="00B0710E">
        <w:tc>
          <w:tcPr>
            <w:tcW w:w="6948" w:type="dxa"/>
            <w:tcBorders>
              <w:top w:val="single" w:sz="4" w:space="0" w:color="auto"/>
            </w:tcBorders>
          </w:tcPr>
          <w:p w:rsidR="00915403" w:rsidRPr="00A16353" w:rsidRDefault="00915403" w:rsidP="00B0710E">
            <w:pPr>
              <w:rPr>
                <w:rFonts w:asciiTheme="minorHAnsi" w:hAnsiTheme="minorHAnsi"/>
                <w:sz w:val="24"/>
              </w:rPr>
            </w:pPr>
            <w:r w:rsidRPr="00A16353">
              <w:rPr>
                <w:rFonts w:asciiTheme="minorHAnsi" w:hAnsiTheme="minorHAnsi"/>
                <w:sz w:val="24"/>
              </w:rPr>
              <w:t>Business conditions in the U.S. are good.</w:t>
            </w:r>
          </w:p>
        </w:tc>
        <w:tc>
          <w:tcPr>
            <w:tcW w:w="900" w:type="dxa"/>
            <w:tcBorders>
              <w:top w:val="single" w:sz="4" w:space="0" w:color="auto"/>
            </w:tcBorders>
          </w:tcPr>
          <w:p w:rsidR="00915403" w:rsidRPr="00A16353" w:rsidRDefault="00915403" w:rsidP="00F863C8">
            <w:pPr>
              <w:jc w:val="center"/>
              <w:rPr>
                <w:rFonts w:asciiTheme="minorHAnsi" w:hAnsiTheme="minorHAnsi"/>
                <w:b/>
                <w:sz w:val="24"/>
              </w:rPr>
            </w:pPr>
            <w:r>
              <w:rPr>
                <w:rFonts w:asciiTheme="minorHAnsi" w:hAnsiTheme="minorHAnsi"/>
                <w:b/>
                <w:sz w:val="24"/>
              </w:rPr>
              <w:t>2</w:t>
            </w:r>
            <w:r w:rsidR="00F863C8">
              <w:rPr>
                <w:rFonts w:asciiTheme="minorHAnsi" w:hAnsiTheme="minorHAnsi"/>
                <w:b/>
                <w:sz w:val="24"/>
              </w:rPr>
              <w:t>4</w:t>
            </w:r>
            <w:r w:rsidRPr="00A16353">
              <w:rPr>
                <w:rStyle w:val="FootnoteReference"/>
                <w:rFonts w:asciiTheme="minorHAnsi" w:hAnsiTheme="minorHAnsi"/>
                <w:b/>
                <w:sz w:val="24"/>
              </w:rPr>
              <w:footnoteReference w:id="3"/>
            </w:r>
          </w:p>
        </w:tc>
        <w:tc>
          <w:tcPr>
            <w:tcW w:w="1008" w:type="dxa"/>
            <w:tcBorders>
              <w:top w:val="single" w:sz="4" w:space="0" w:color="auto"/>
            </w:tcBorders>
          </w:tcPr>
          <w:p w:rsidR="00915403" w:rsidRPr="00A16353" w:rsidRDefault="008226C7" w:rsidP="00B0710E">
            <w:pPr>
              <w:jc w:val="center"/>
              <w:rPr>
                <w:rFonts w:asciiTheme="minorHAnsi" w:hAnsiTheme="minorHAnsi"/>
                <w:b/>
                <w:sz w:val="24"/>
              </w:rPr>
            </w:pPr>
            <w:r>
              <w:rPr>
                <w:rFonts w:asciiTheme="minorHAnsi" w:hAnsiTheme="minorHAnsi"/>
                <w:b/>
                <w:sz w:val="24"/>
              </w:rPr>
              <w:t>21</w:t>
            </w:r>
          </w:p>
        </w:tc>
      </w:tr>
      <w:tr w:rsidR="00915403" w:rsidRPr="00A16353" w:rsidTr="00B0710E">
        <w:tc>
          <w:tcPr>
            <w:tcW w:w="6948" w:type="dxa"/>
            <w:shd w:val="clear" w:color="auto" w:fill="DBE5F1" w:themeFill="accent1" w:themeFillTint="33"/>
          </w:tcPr>
          <w:p w:rsidR="00915403" w:rsidRPr="00A16353" w:rsidRDefault="00915403" w:rsidP="00B0710E">
            <w:pPr>
              <w:rPr>
                <w:rFonts w:asciiTheme="minorHAnsi" w:hAnsiTheme="minorHAnsi"/>
                <w:sz w:val="24"/>
              </w:rPr>
            </w:pPr>
            <w:r w:rsidRPr="00A16353">
              <w:rPr>
                <w:rFonts w:asciiTheme="minorHAnsi" w:hAnsiTheme="minorHAnsi"/>
                <w:sz w:val="24"/>
              </w:rPr>
              <w:t>Six months from now, business conditions in the U.S. will be better.</w:t>
            </w:r>
          </w:p>
        </w:tc>
        <w:tc>
          <w:tcPr>
            <w:tcW w:w="900" w:type="dxa"/>
            <w:shd w:val="clear" w:color="auto" w:fill="DBE5F1" w:themeFill="accent1" w:themeFillTint="33"/>
          </w:tcPr>
          <w:p w:rsidR="00915403" w:rsidRPr="00A16353" w:rsidRDefault="00F863C8" w:rsidP="00F863C8">
            <w:pPr>
              <w:jc w:val="center"/>
              <w:rPr>
                <w:rFonts w:asciiTheme="minorHAnsi" w:hAnsiTheme="minorHAnsi"/>
                <w:b/>
                <w:sz w:val="24"/>
              </w:rPr>
            </w:pPr>
            <w:r>
              <w:rPr>
                <w:rFonts w:asciiTheme="minorHAnsi" w:hAnsiTheme="minorHAnsi"/>
                <w:b/>
                <w:sz w:val="24"/>
              </w:rPr>
              <w:t>20</w:t>
            </w:r>
          </w:p>
        </w:tc>
        <w:tc>
          <w:tcPr>
            <w:tcW w:w="1008" w:type="dxa"/>
            <w:shd w:val="clear" w:color="auto" w:fill="DBE5F1" w:themeFill="accent1" w:themeFillTint="33"/>
          </w:tcPr>
          <w:p w:rsidR="00915403" w:rsidRPr="00A16353" w:rsidRDefault="008226C7" w:rsidP="00B0710E">
            <w:pPr>
              <w:jc w:val="center"/>
              <w:rPr>
                <w:rFonts w:asciiTheme="minorHAnsi" w:hAnsiTheme="minorHAnsi"/>
                <w:b/>
                <w:sz w:val="24"/>
              </w:rPr>
            </w:pPr>
            <w:r>
              <w:rPr>
                <w:rFonts w:asciiTheme="minorHAnsi" w:hAnsiTheme="minorHAnsi"/>
                <w:b/>
                <w:sz w:val="24"/>
              </w:rPr>
              <w:t>22</w:t>
            </w:r>
          </w:p>
        </w:tc>
      </w:tr>
      <w:tr w:rsidR="00915403" w:rsidRPr="00A16353" w:rsidTr="00B0710E">
        <w:tc>
          <w:tcPr>
            <w:tcW w:w="6948" w:type="dxa"/>
          </w:tcPr>
          <w:p w:rsidR="00915403" w:rsidRPr="00A16353" w:rsidRDefault="00915403" w:rsidP="00B0710E">
            <w:pPr>
              <w:rPr>
                <w:rFonts w:asciiTheme="minorHAnsi" w:hAnsiTheme="minorHAnsi"/>
                <w:sz w:val="24"/>
              </w:rPr>
            </w:pPr>
            <w:r w:rsidRPr="00A16353">
              <w:rPr>
                <w:rFonts w:asciiTheme="minorHAnsi" w:hAnsiTheme="minorHAnsi"/>
                <w:sz w:val="24"/>
              </w:rPr>
              <w:t>Jobs are easy to find (plentiful).</w:t>
            </w:r>
          </w:p>
        </w:tc>
        <w:tc>
          <w:tcPr>
            <w:tcW w:w="900" w:type="dxa"/>
          </w:tcPr>
          <w:p w:rsidR="00915403" w:rsidRPr="00A16353" w:rsidRDefault="00915403" w:rsidP="00F863C8">
            <w:pPr>
              <w:jc w:val="center"/>
              <w:rPr>
                <w:rFonts w:asciiTheme="minorHAnsi" w:hAnsiTheme="minorHAnsi"/>
                <w:b/>
                <w:sz w:val="24"/>
              </w:rPr>
            </w:pPr>
            <w:r>
              <w:rPr>
                <w:rFonts w:asciiTheme="minorHAnsi" w:hAnsiTheme="minorHAnsi"/>
                <w:b/>
                <w:sz w:val="24"/>
              </w:rPr>
              <w:t>1</w:t>
            </w:r>
            <w:r w:rsidR="00F863C8">
              <w:rPr>
                <w:rFonts w:asciiTheme="minorHAnsi" w:hAnsiTheme="minorHAnsi"/>
                <w:b/>
                <w:sz w:val="24"/>
              </w:rPr>
              <w:t>8</w:t>
            </w:r>
          </w:p>
        </w:tc>
        <w:tc>
          <w:tcPr>
            <w:tcW w:w="1008" w:type="dxa"/>
          </w:tcPr>
          <w:p w:rsidR="00915403" w:rsidRPr="00A16353" w:rsidRDefault="008226C7" w:rsidP="00B0710E">
            <w:pPr>
              <w:jc w:val="center"/>
              <w:rPr>
                <w:rFonts w:asciiTheme="minorHAnsi" w:hAnsiTheme="minorHAnsi"/>
                <w:b/>
                <w:sz w:val="24"/>
              </w:rPr>
            </w:pPr>
            <w:r>
              <w:rPr>
                <w:rFonts w:asciiTheme="minorHAnsi" w:hAnsiTheme="minorHAnsi"/>
                <w:b/>
                <w:sz w:val="24"/>
              </w:rPr>
              <w:t>14</w:t>
            </w:r>
          </w:p>
        </w:tc>
      </w:tr>
      <w:tr w:rsidR="00915403" w:rsidRPr="00A16353" w:rsidTr="00B0710E">
        <w:tc>
          <w:tcPr>
            <w:tcW w:w="6948" w:type="dxa"/>
            <w:shd w:val="clear" w:color="auto" w:fill="DBE5F1" w:themeFill="accent1" w:themeFillTint="33"/>
          </w:tcPr>
          <w:p w:rsidR="00915403" w:rsidRPr="00A16353" w:rsidRDefault="00915403" w:rsidP="00B0710E">
            <w:pPr>
              <w:rPr>
                <w:rFonts w:asciiTheme="minorHAnsi" w:hAnsiTheme="minorHAnsi"/>
                <w:sz w:val="24"/>
              </w:rPr>
            </w:pPr>
            <w:r w:rsidRPr="00A16353">
              <w:rPr>
                <w:rFonts w:asciiTheme="minorHAnsi" w:hAnsiTheme="minorHAnsi"/>
                <w:sz w:val="24"/>
              </w:rPr>
              <w:t>Six months from now, there will be more job openings.</w:t>
            </w:r>
          </w:p>
        </w:tc>
        <w:tc>
          <w:tcPr>
            <w:tcW w:w="900" w:type="dxa"/>
            <w:shd w:val="clear" w:color="auto" w:fill="DBE5F1" w:themeFill="accent1" w:themeFillTint="33"/>
          </w:tcPr>
          <w:p w:rsidR="00915403" w:rsidRPr="00A16353" w:rsidRDefault="00915403" w:rsidP="00F863C8">
            <w:pPr>
              <w:jc w:val="center"/>
              <w:rPr>
                <w:rFonts w:asciiTheme="minorHAnsi" w:hAnsiTheme="minorHAnsi"/>
                <w:b/>
                <w:sz w:val="24"/>
              </w:rPr>
            </w:pPr>
            <w:r>
              <w:rPr>
                <w:rFonts w:asciiTheme="minorHAnsi" w:hAnsiTheme="minorHAnsi"/>
                <w:b/>
                <w:sz w:val="24"/>
              </w:rPr>
              <w:t>1</w:t>
            </w:r>
            <w:r w:rsidR="00F863C8">
              <w:rPr>
                <w:rFonts w:asciiTheme="minorHAnsi" w:hAnsiTheme="minorHAnsi"/>
                <w:b/>
                <w:sz w:val="24"/>
              </w:rPr>
              <w:t>7</w:t>
            </w:r>
          </w:p>
        </w:tc>
        <w:tc>
          <w:tcPr>
            <w:tcW w:w="1008" w:type="dxa"/>
            <w:shd w:val="clear" w:color="auto" w:fill="DBE5F1" w:themeFill="accent1" w:themeFillTint="33"/>
          </w:tcPr>
          <w:p w:rsidR="00915403" w:rsidRPr="00A16353" w:rsidRDefault="008226C7" w:rsidP="00B0710E">
            <w:pPr>
              <w:jc w:val="center"/>
              <w:rPr>
                <w:rFonts w:asciiTheme="minorHAnsi" w:hAnsiTheme="minorHAnsi"/>
                <w:b/>
                <w:sz w:val="24"/>
              </w:rPr>
            </w:pPr>
            <w:r>
              <w:rPr>
                <w:rFonts w:asciiTheme="minorHAnsi" w:hAnsiTheme="minorHAnsi"/>
                <w:b/>
                <w:sz w:val="24"/>
              </w:rPr>
              <w:t>38</w:t>
            </w:r>
          </w:p>
        </w:tc>
      </w:tr>
      <w:tr w:rsidR="00915403" w:rsidRPr="00A16353" w:rsidTr="00B0710E">
        <w:tc>
          <w:tcPr>
            <w:tcW w:w="6948" w:type="dxa"/>
          </w:tcPr>
          <w:p w:rsidR="00915403" w:rsidRPr="00A16353" w:rsidRDefault="00915403" w:rsidP="00B0710E">
            <w:pPr>
              <w:rPr>
                <w:rFonts w:asciiTheme="minorHAnsi" w:hAnsiTheme="minorHAnsi"/>
                <w:sz w:val="24"/>
              </w:rPr>
            </w:pPr>
            <w:r w:rsidRPr="00A16353">
              <w:rPr>
                <w:rFonts w:asciiTheme="minorHAnsi" w:hAnsiTheme="minorHAnsi"/>
                <w:sz w:val="24"/>
              </w:rPr>
              <w:t>In 12 months my personal financial situation (income) will be better.</w:t>
            </w:r>
          </w:p>
        </w:tc>
        <w:tc>
          <w:tcPr>
            <w:tcW w:w="900" w:type="dxa"/>
          </w:tcPr>
          <w:p w:rsidR="00915403" w:rsidRPr="00A16353" w:rsidRDefault="00915403" w:rsidP="00F863C8">
            <w:pPr>
              <w:jc w:val="center"/>
              <w:rPr>
                <w:rFonts w:asciiTheme="minorHAnsi" w:hAnsiTheme="minorHAnsi"/>
                <w:b/>
                <w:sz w:val="24"/>
              </w:rPr>
            </w:pPr>
            <w:r>
              <w:rPr>
                <w:rFonts w:asciiTheme="minorHAnsi" w:hAnsiTheme="minorHAnsi"/>
                <w:b/>
                <w:sz w:val="24"/>
              </w:rPr>
              <w:t>1</w:t>
            </w:r>
            <w:r w:rsidR="00F863C8">
              <w:rPr>
                <w:rFonts w:asciiTheme="minorHAnsi" w:hAnsiTheme="minorHAnsi"/>
                <w:b/>
                <w:sz w:val="24"/>
              </w:rPr>
              <w:t>6</w:t>
            </w:r>
          </w:p>
        </w:tc>
        <w:tc>
          <w:tcPr>
            <w:tcW w:w="1008" w:type="dxa"/>
          </w:tcPr>
          <w:p w:rsidR="00915403" w:rsidRPr="00A16353" w:rsidRDefault="008226C7" w:rsidP="00B0710E">
            <w:pPr>
              <w:jc w:val="center"/>
              <w:rPr>
                <w:rFonts w:asciiTheme="minorHAnsi" w:hAnsiTheme="minorHAnsi"/>
                <w:b/>
                <w:sz w:val="24"/>
              </w:rPr>
            </w:pPr>
            <w:r>
              <w:rPr>
                <w:rFonts w:asciiTheme="minorHAnsi" w:hAnsiTheme="minorHAnsi"/>
                <w:b/>
                <w:sz w:val="24"/>
              </w:rPr>
              <w:t>32</w:t>
            </w:r>
          </w:p>
        </w:tc>
      </w:tr>
    </w:tbl>
    <w:p w:rsidR="00915403" w:rsidRDefault="00915403" w:rsidP="00915403">
      <w:pPr>
        <w:pStyle w:val="BodyText"/>
        <w:jc w:val="both"/>
        <w:rPr>
          <w:rFonts w:asciiTheme="minorHAnsi" w:hAnsiTheme="minorHAnsi"/>
          <w:b/>
          <w:bCs/>
          <w:u w:val="single"/>
        </w:rPr>
      </w:pPr>
    </w:p>
    <w:p w:rsidR="00915403" w:rsidRDefault="00915403" w:rsidP="00B661BD">
      <w:pPr>
        <w:pStyle w:val="BodyText"/>
        <w:jc w:val="both"/>
        <w:rPr>
          <w:rFonts w:asciiTheme="minorHAnsi" w:hAnsiTheme="minorHAnsi"/>
          <w:bCs/>
        </w:rPr>
      </w:pPr>
    </w:p>
    <w:p w:rsidR="0070722D" w:rsidRDefault="0070722D" w:rsidP="00B661BD">
      <w:pPr>
        <w:pStyle w:val="BodyText"/>
        <w:jc w:val="both"/>
        <w:rPr>
          <w:rFonts w:asciiTheme="minorHAnsi" w:hAnsiTheme="minorHAnsi"/>
          <w:b/>
          <w:bCs/>
          <w:sz w:val="28"/>
          <w:szCs w:val="28"/>
        </w:rPr>
      </w:pPr>
    </w:p>
    <w:p w:rsidR="005B1D3D" w:rsidRPr="005B1D3D" w:rsidRDefault="007F668D" w:rsidP="00B661BD">
      <w:pPr>
        <w:pStyle w:val="BodyText"/>
        <w:jc w:val="both"/>
        <w:rPr>
          <w:rFonts w:asciiTheme="minorHAnsi" w:hAnsiTheme="minorHAnsi"/>
          <w:bCs/>
          <w:sz w:val="28"/>
          <w:szCs w:val="28"/>
        </w:rPr>
      </w:pPr>
      <w:r w:rsidRPr="005B1D3D">
        <w:rPr>
          <w:rFonts w:asciiTheme="minorHAnsi" w:hAnsiTheme="minorHAnsi"/>
          <w:b/>
          <w:bCs/>
          <w:sz w:val="28"/>
          <w:szCs w:val="28"/>
        </w:rPr>
        <w:lastRenderedPageBreak/>
        <w:t>What Was on Consumers’ Minds?</w:t>
      </w:r>
      <w:r w:rsidR="00BA63C3" w:rsidRPr="005B1D3D">
        <w:rPr>
          <w:rFonts w:asciiTheme="minorHAnsi" w:hAnsiTheme="minorHAnsi"/>
          <w:bCs/>
          <w:sz w:val="28"/>
          <w:szCs w:val="28"/>
        </w:rPr>
        <w:t xml:space="preserve">     </w:t>
      </w:r>
    </w:p>
    <w:p w:rsidR="005B1D3D" w:rsidRDefault="005B1D3D" w:rsidP="00B661BD">
      <w:pPr>
        <w:pStyle w:val="BodyText"/>
        <w:jc w:val="both"/>
        <w:rPr>
          <w:rFonts w:asciiTheme="minorHAnsi" w:hAnsiTheme="minorHAnsi"/>
          <w:bCs/>
        </w:rPr>
      </w:pPr>
    </w:p>
    <w:p w:rsidR="00BA63C3" w:rsidRDefault="005B1D3D" w:rsidP="00B661BD">
      <w:pPr>
        <w:pStyle w:val="BodyText"/>
        <w:jc w:val="both"/>
        <w:rPr>
          <w:rFonts w:asciiTheme="minorHAnsi" w:hAnsiTheme="minorHAnsi"/>
          <w:bCs/>
        </w:rPr>
      </w:pPr>
      <w:r>
        <w:rPr>
          <w:rFonts w:asciiTheme="minorHAnsi" w:hAnsiTheme="minorHAnsi"/>
          <w:bCs/>
        </w:rPr>
        <w:t xml:space="preserve">     </w:t>
      </w:r>
      <w:r w:rsidR="00BA63C3">
        <w:rPr>
          <w:rFonts w:asciiTheme="minorHAnsi" w:hAnsiTheme="minorHAnsi"/>
          <w:bCs/>
        </w:rPr>
        <w:t xml:space="preserve">Consumers were given an opportunity to offer a reason for why they rated the economy as they did.  Below is a word cloud that depicts the </w:t>
      </w:r>
      <w:r w:rsidR="00F455DE">
        <w:rPr>
          <w:rFonts w:asciiTheme="minorHAnsi" w:hAnsiTheme="minorHAnsi"/>
          <w:bCs/>
        </w:rPr>
        <w:t>25</w:t>
      </w:r>
      <w:r w:rsidR="00BA63C3">
        <w:rPr>
          <w:rFonts w:asciiTheme="minorHAnsi" w:hAnsiTheme="minorHAnsi"/>
          <w:bCs/>
        </w:rPr>
        <w:t xml:space="preserve"> most frequently mentioned words that appeared in these open-ended responses. </w:t>
      </w:r>
      <w:r w:rsidR="008A757A">
        <w:rPr>
          <w:rFonts w:asciiTheme="minorHAnsi" w:hAnsiTheme="minorHAnsi"/>
          <w:bCs/>
        </w:rPr>
        <w:t xml:space="preserve"> The larger the word, the more frequently it was mentioned.</w:t>
      </w:r>
      <w:r w:rsidR="00BA63C3">
        <w:rPr>
          <w:rFonts w:asciiTheme="minorHAnsi" w:hAnsiTheme="minorHAnsi"/>
          <w:bCs/>
        </w:rPr>
        <w:t xml:space="preserve"> </w:t>
      </w:r>
      <w:r w:rsidR="008A757A">
        <w:rPr>
          <w:rFonts w:asciiTheme="minorHAnsi" w:hAnsiTheme="minorHAnsi"/>
          <w:bCs/>
        </w:rPr>
        <w:t xml:space="preserve"> </w:t>
      </w:r>
      <w:r w:rsidR="00BA63C3">
        <w:rPr>
          <w:rFonts w:asciiTheme="minorHAnsi" w:hAnsiTheme="minorHAnsi"/>
          <w:bCs/>
        </w:rPr>
        <w:t xml:space="preserve">This can provide clues </w:t>
      </w:r>
      <w:r w:rsidR="007F668D">
        <w:rPr>
          <w:rFonts w:asciiTheme="minorHAnsi" w:hAnsiTheme="minorHAnsi"/>
          <w:bCs/>
        </w:rPr>
        <w:t xml:space="preserve">about the thoughts </w:t>
      </w:r>
      <w:r w:rsidR="00BA63C3">
        <w:rPr>
          <w:rFonts w:asciiTheme="minorHAnsi" w:hAnsiTheme="minorHAnsi"/>
          <w:bCs/>
        </w:rPr>
        <w:t xml:space="preserve">that were on consumers’ minds as they responded to the survey.  </w:t>
      </w:r>
      <w:r w:rsidR="00F455DE">
        <w:rPr>
          <w:rFonts w:asciiTheme="minorHAnsi" w:hAnsiTheme="minorHAnsi"/>
          <w:bCs/>
        </w:rPr>
        <w:t xml:space="preserve">Apparently, </w:t>
      </w:r>
      <w:r w:rsidR="000A4BFC">
        <w:rPr>
          <w:rFonts w:asciiTheme="minorHAnsi" w:hAnsiTheme="minorHAnsi"/>
          <w:bCs/>
        </w:rPr>
        <w:t xml:space="preserve">consumers perceive that the economy has improved.   </w:t>
      </w:r>
    </w:p>
    <w:p w:rsidR="00381982" w:rsidRDefault="00381982" w:rsidP="00B661BD">
      <w:pPr>
        <w:pStyle w:val="BodyText"/>
        <w:jc w:val="both"/>
        <w:rPr>
          <w:rFonts w:asciiTheme="minorHAnsi" w:hAnsiTheme="minorHAnsi"/>
          <w:bCs/>
        </w:rPr>
      </w:pPr>
    </w:p>
    <w:p w:rsidR="00481431" w:rsidRPr="00546A3A" w:rsidRDefault="000C179A" w:rsidP="0070722D">
      <w:pPr>
        <w:jc w:val="center"/>
        <w:rPr>
          <w:rFonts w:asciiTheme="minorHAnsi" w:hAnsiTheme="minorHAnsi"/>
          <w:bCs/>
          <w:sz w:val="28"/>
          <w:szCs w:val="28"/>
        </w:rPr>
      </w:pPr>
      <w:r>
        <w:rPr>
          <w:noProof/>
        </w:rPr>
        <w:drawing>
          <wp:inline distT="0" distB="0" distL="0" distR="0" wp14:anchorId="134514F6" wp14:editId="5C41E51A">
            <wp:extent cx="5476875" cy="2190750"/>
            <wp:effectExtent l="190500" t="190500" r="409575" b="3810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442" t="6012" r="46293" b="69138"/>
                    <a:stretch/>
                  </pic:blipFill>
                  <pic:spPr bwMode="auto">
                    <a:xfrm>
                      <a:off x="0" y="0"/>
                      <a:ext cx="5492475" cy="2196990"/>
                    </a:xfrm>
                    <a:prstGeom prst="rect">
                      <a:avLst/>
                    </a:prstGeom>
                    <a:ln>
                      <a:solidFill>
                        <a:schemeClr val="tx1"/>
                      </a:solid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00481431">
        <w:rPr>
          <w:rFonts w:asciiTheme="minorHAnsi" w:hAnsiTheme="minorHAnsi"/>
          <w:bCs/>
        </w:rPr>
        <w:br w:type="column"/>
      </w:r>
      <w:r w:rsidR="00481431" w:rsidRPr="00546A3A">
        <w:rPr>
          <w:rFonts w:asciiTheme="minorHAnsi" w:hAnsiTheme="minorHAnsi"/>
          <w:b/>
          <w:bCs/>
          <w:sz w:val="28"/>
          <w:szCs w:val="28"/>
          <w:u w:val="single"/>
        </w:rPr>
        <w:lastRenderedPageBreak/>
        <w:t>Changes in Consumers’ Perceptions of the Economy</w:t>
      </w:r>
    </w:p>
    <w:p w:rsidR="00481431" w:rsidRPr="00A16353" w:rsidRDefault="00481431" w:rsidP="00481431">
      <w:pPr>
        <w:rPr>
          <w:rFonts w:asciiTheme="minorHAnsi" w:hAnsiTheme="minorHAnsi"/>
          <w:b/>
          <w:bCs/>
          <w:sz w:val="24"/>
          <w:u w:val="single"/>
        </w:rPr>
      </w:pPr>
    </w:p>
    <w:p w:rsidR="00481431" w:rsidRPr="00A16353" w:rsidRDefault="00481431" w:rsidP="00481431">
      <w:pPr>
        <w:rPr>
          <w:rFonts w:asciiTheme="minorHAnsi" w:hAnsiTheme="minorHAnsi"/>
          <w:bCs/>
          <w:sz w:val="24"/>
        </w:rPr>
      </w:pPr>
      <w:r w:rsidRPr="00A16353">
        <w:rPr>
          <w:rFonts w:asciiTheme="minorHAnsi" w:hAnsiTheme="minorHAnsi"/>
          <w:bCs/>
          <w:sz w:val="24"/>
        </w:rPr>
        <w:t xml:space="preserve">     The table below shows how consumers’ responses to selected survey questions have changed since </w:t>
      </w:r>
      <w:r w:rsidR="00F863C8">
        <w:rPr>
          <w:rFonts w:asciiTheme="minorHAnsi" w:hAnsiTheme="minorHAnsi"/>
          <w:bCs/>
          <w:sz w:val="24"/>
        </w:rPr>
        <w:t>May</w:t>
      </w:r>
      <w:r w:rsidR="00BC5130">
        <w:rPr>
          <w:rFonts w:asciiTheme="minorHAnsi" w:hAnsiTheme="minorHAnsi"/>
          <w:bCs/>
          <w:sz w:val="24"/>
        </w:rPr>
        <w:t xml:space="preserve">, </w:t>
      </w:r>
      <w:r>
        <w:rPr>
          <w:rFonts w:asciiTheme="minorHAnsi" w:hAnsiTheme="minorHAnsi"/>
          <w:bCs/>
          <w:sz w:val="24"/>
        </w:rPr>
        <w:t>201</w:t>
      </w:r>
      <w:r w:rsidR="000A4BFC">
        <w:rPr>
          <w:rFonts w:asciiTheme="minorHAnsi" w:hAnsiTheme="minorHAnsi"/>
          <w:bCs/>
          <w:sz w:val="24"/>
        </w:rPr>
        <w:t>4</w:t>
      </w:r>
      <w:r w:rsidRPr="00A16353">
        <w:rPr>
          <w:rFonts w:asciiTheme="minorHAnsi" w:hAnsiTheme="minorHAnsi"/>
          <w:bCs/>
          <w:sz w:val="24"/>
        </w:rPr>
        <w:t>.</w:t>
      </w:r>
    </w:p>
    <w:p w:rsidR="00481431" w:rsidRPr="00A16353" w:rsidRDefault="00481431" w:rsidP="00481431">
      <w:pPr>
        <w:rPr>
          <w:rFonts w:asciiTheme="minorHAnsi" w:hAnsiTheme="minorHAnsi"/>
          <w:bCs/>
          <w:sz w:val="24"/>
        </w:rPr>
      </w:pPr>
    </w:p>
    <w:tbl>
      <w:tblPr>
        <w:tblStyle w:val="MediumShading1-Accent1"/>
        <w:tblW w:w="0" w:type="auto"/>
        <w:tblLayout w:type="fixed"/>
        <w:tblLook w:val="04A0" w:firstRow="1" w:lastRow="0" w:firstColumn="1" w:lastColumn="0" w:noHBand="0" w:noVBand="1"/>
      </w:tblPr>
      <w:tblGrid>
        <w:gridCol w:w="5958"/>
        <w:gridCol w:w="1350"/>
        <w:gridCol w:w="1548"/>
      </w:tblGrid>
      <w:tr w:rsidR="00481431" w:rsidRPr="00A16353" w:rsidTr="00C25C98">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58" w:type="dxa"/>
          </w:tcPr>
          <w:p w:rsidR="00481431" w:rsidRPr="00481431" w:rsidRDefault="00481431" w:rsidP="001A1A56">
            <w:pPr>
              <w:jc w:val="center"/>
              <w:rPr>
                <w:rFonts w:asciiTheme="minorHAnsi" w:hAnsiTheme="minorHAnsi"/>
                <w:b w:val="0"/>
                <w:sz w:val="16"/>
                <w:szCs w:val="16"/>
              </w:rPr>
            </w:pPr>
          </w:p>
        </w:tc>
        <w:tc>
          <w:tcPr>
            <w:tcW w:w="1350" w:type="dxa"/>
          </w:tcPr>
          <w:p w:rsidR="0082033A" w:rsidRDefault="00F863C8" w:rsidP="001A1A5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September</w:t>
            </w:r>
            <w:r w:rsidR="00BB1BA0">
              <w:rPr>
                <w:rFonts w:asciiTheme="minorHAnsi" w:hAnsiTheme="minorHAnsi"/>
                <w:sz w:val="24"/>
                <w:szCs w:val="24"/>
              </w:rPr>
              <w:t xml:space="preserve"> </w:t>
            </w:r>
          </w:p>
          <w:p w:rsidR="00481431" w:rsidRPr="008D70F0" w:rsidRDefault="002C5F55" w:rsidP="001A1A5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 xml:space="preserve"> </w:t>
            </w:r>
            <w:r w:rsidR="00481431" w:rsidRPr="008D70F0">
              <w:rPr>
                <w:rFonts w:asciiTheme="minorHAnsi" w:hAnsiTheme="minorHAnsi"/>
                <w:sz w:val="24"/>
                <w:szCs w:val="24"/>
              </w:rPr>
              <w:t>201</w:t>
            </w:r>
            <w:r w:rsidR="00BE255B">
              <w:rPr>
                <w:rFonts w:asciiTheme="minorHAnsi" w:hAnsiTheme="minorHAnsi"/>
                <w:sz w:val="24"/>
                <w:szCs w:val="24"/>
              </w:rPr>
              <w:t>4</w:t>
            </w:r>
          </w:p>
          <w:p w:rsidR="00481431" w:rsidRPr="008D70F0" w:rsidRDefault="00481431" w:rsidP="001A1A5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8D70F0">
              <w:rPr>
                <w:rFonts w:asciiTheme="minorHAnsi" w:hAnsiTheme="minorHAnsi"/>
                <w:sz w:val="24"/>
                <w:szCs w:val="24"/>
              </w:rPr>
              <w:t>(%)</w:t>
            </w:r>
          </w:p>
        </w:tc>
        <w:tc>
          <w:tcPr>
            <w:tcW w:w="1548" w:type="dxa"/>
          </w:tcPr>
          <w:p w:rsidR="00481431" w:rsidRPr="008D70F0" w:rsidRDefault="00481431" w:rsidP="00F863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8D70F0">
              <w:rPr>
                <w:rFonts w:asciiTheme="minorHAnsi" w:hAnsiTheme="minorHAnsi"/>
                <w:sz w:val="24"/>
                <w:szCs w:val="24"/>
              </w:rPr>
              <w:t xml:space="preserve">Change from </w:t>
            </w:r>
            <w:r w:rsidRPr="008D70F0">
              <w:rPr>
                <w:rFonts w:asciiTheme="minorHAnsi" w:hAnsiTheme="minorHAnsi"/>
                <w:sz w:val="24"/>
                <w:szCs w:val="24"/>
              </w:rPr>
              <w:br/>
            </w:r>
            <w:r w:rsidR="00F863C8">
              <w:rPr>
                <w:rFonts w:asciiTheme="minorHAnsi" w:hAnsiTheme="minorHAnsi"/>
                <w:sz w:val="24"/>
                <w:szCs w:val="24"/>
              </w:rPr>
              <w:t>May</w:t>
            </w:r>
            <w:r w:rsidR="00985C05">
              <w:rPr>
                <w:rFonts w:asciiTheme="minorHAnsi" w:hAnsiTheme="minorHAnsi"/>
                <w:sz w:val="24"/>
                <w:szCs w:val="24"/>
              </w:rPr>
              <w:t xml:space="preserve"> </w:t>
            </w:r>
            <w:r w:rsidRPr="008D70F0">
              <w:rPr>
                <w:rFonts w:asciiTheme="minorHAnsi" w:hAnsiTheme="minorHAnsi"/>
                <w:sz w:val="24"/>
                <w:szCs w:val="24"/>
              </w:rPr>
              <w:t>201</w:t>
            </w:r>
            <w:r w:rsidR="000A4BFC">
              <w:rPr>
                <w:rFonts w:asciiTheme="minorHAnsi" w:hAnsiTheme="minorHAnsi"/>
                <w:sz w:val="24"/>
                <w:szCs w:val="24"/>
              </w:rPr>
              <w:t>4</w:t>
            </w:r>
          </w:p>
        </w:tc>
      </w:tr>
      <w:tr w:rsidR="00481431" w:rsidRPr="00A16353" w:rsidTr="00C25C98">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958" w:type="dxa"/>
            <w:vAlign w:val="center"/>
          </w:tcPr>
          <w:p w:rsidR="00481431" w:rsidRPr="00C25C98" w:rsidRDefault="00481431" w:rsidP="002E21FD">
            <w:pPr>
              <w:jc w:val="center"/>
              <w:rPr>
                <w:rFonts w:asciiTheme="minorHAnsi" w:hAnsiTheme="minorHAnsi"/>
                <w:b w:val="0"/>
                <w:sz w:val="22"/>
                <w:szCs w:val="22"/>
              </w:rPr>
            </w:pPr>
            <w:r w:rsidRPr="00C25C98">
              <w:rPr>
                <w:rFonts w:asciiTheme="minorHAnsi" w:hAnsiTheme="minorHAnsi"/>
                <w:sz w:val="22"/>
                <w:szCs w:val="22"/>
              </w:rPr>
              <w:t xml:space="preserve">Business conditions in the U.S. are </w:t>
            </w:r>
            <w:r w:rsidRPr="00C25C98">
              <w:rPr>
                <w:rFonts w:asciiTheme="minorHAnsi" w:hAnsiTheme="minorHAnsi"/>
                <w:sz w:val="22"/>
                <w:szCs w:val="22"/>
                <w:u w:val="single"/>
              </w:rPr>
              <w:t>Good</w:t>
            </w:r>
            <w:r w:rsidRPr="00C25C98">
              <w:rPr>
                <w:rFonts w:asciiTheme="minorHAnsi" w:hAnsiTheme="minorHAnsi"/>
                <w:sz w:val="22"/>
                <w:szCs w:val="22"/>
              </w:rPr>
              <w:t>.</w:t>
            </w:r>
          </w:p>
        </w:tc>
        <w:tc>
          <w:tcPr>
            <w:tcW w:w="1350" w:type="dxa"/>
            <w:vAlign w:val="center"/>
          </w:tcPr>
          <w:p w:rsidR="00481431" w:rsidRPr="00481431" w:rsidRDefault="008226C7" w:rsidP="008D70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Pr>
                <w:rFonts w:asciiTheme="minorHAnsi" w:hAnsiTheme="minorHAnsi"/>
                <w:b/>
                <w:sz w:val="24"/>
                <w:szCs w:val="24"/>
              </w:rPr>
              <w:t>21</w:t>
            </w:r>
          </w:p>
        </w:tc>
        <w:tc>
          <w:tcPr>
            <w:tcW w:w="1548" w:type="dxa"/>
            <w:vAlign w:val="center"/>
          </w:tcPr>
          <w:p w:rsidR="00481431" w:rsidRPr="00481431" w:rsidRDefault="00CE3C80" w:rsidP="008226C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sidRPr="00481431">
              <w:rPr>
                <w:rFonts w:asciiTheme="minorHAnsi" w:hAnsiTheme="minorHAnsi"/>
                <w:b/>
                <w:noProof/>
                <w:sz w:val="24"/>
                <w:szCs w:val="24"/>
              </w:rPr>
              <mc:AlternateContent>
                <mc:Choice Requires="wps">
                  <w:drawing>
                    <wp:anchor distT="0" distB="0" distL="114300" distR="114300" simplePos="0" relativeHeight="251800064" behindDoc="0" locked="0" layoutInCell="1" allowOverlap="1" wp14:anchorId="3E6F159A" wp14:editId="469C99E0">
                      <wp:simplePos x="0" y="0"/>
                      <wp:positionH relativeFrom="column">
                        <wp:posOffset>299720</wp:posOffset>
                      </wp:positionH>
                      <wp:positionV relativeFrom="paragraph">
                        <wp:posOffset>-22225</wp:posOffset>
                      </wp:positionV>
                      <wp:extent cx="178435" cy="281305"/>
                      <wp:effectExtent l="0" t="0" r="0" b="4445"/>
                      <wp:wrapNone/>
                      <wp:docPr id="1"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81305"/>
                              </a:xfrm>
                              <a:prstGeom prst="upArrow">
                                <a:avLst>
                                  <a:gd name="adj1" fmla="val 50000"/>
                                  <a:gd name="adj2" fmla="val 39413"/>
                                </a:avLst>
                              </a:prstGeom>
                              <a:solidFill>
                                <a:srgbClr val="00B050"/>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14" o:spid="_x0000_s1026" type="#_x0000_t68" style="position:absolute;margin-left:23.6pt;margin-top:-1.75pt;width:14.05pt;height:22.1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" fillcolor="#00b050" stroked="f"/>
                  </w:pict>
                </mc:Fallback>
              </mc:AlternateContent>
            </w:r>
            <w:r w:rsidR="008226C7">
              <w:rPr>
                <w:rFonts w:asciiTheme="minorHAnsi" w:hAnsiTheme="minorHAnsi"/>
                <w:b/>
                <w:sz w:val="24"/>
                <w:szCs w:val="24"/>
              </w:rPr>
              <w:t>4</w:t>
            </w:r>
            <w:r w:rsidR="00AF02C6">
              <w:rPr>
                <w:rFonts w:asciiTheme="minorHAnsi" w:hAnsiTheme="minorHAnsi"/>
                <w:b/>
                <w:sz w:val="24"/>
                <w:szCs w:val="24"/>
              </w:rPr>
              <w:t>%</w:t>
            </w:r>
          </w:p>
        </w:tc>
      </w:tr>
      <w:tr w:rsidR="00481431" w:rsidRPr="00A16353" w:rsidTr="00C25C98">
        <w:trPr>
          <w:cnfStyle w:val="000000010000" w:firstRow="0" w:lastRow="0" w:firstColumn="0" w:lastColumn="0" w:oddVBand="0" w:evenVBand="0" w:oddHBand="0" w:evenHBand="1"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958" w:type="dxa"/>
            <w:vAlign w:val="center"/>
          </w:tcPr>
          <w:p w:rsidR="00481431" w:rsidRPr="00C25C98" w:rsidRDefault="00481431" w:rsidP="002E21FD">
            <w:pPr>
              <w:jc w:val="center"/>
              <w:rPr>
                <w:rFonts w:asciiTheme="minorHAnsi" w:hAnsiTheme="minorHAnsi"/>
                <w:b w:val="0"/>
                <w:sz w:val="22"/>
                <w:szCs w:val="22"/>
              </w:rPr>
            </w:pPr>
            <w:r w:rsidRPr="00C25C98">
              <w:rPr>
                <w:rFonts w:asciiTheme="minorHAnsi" w:hAnsiTheme="minorHAnsi"/>
                <w:sz w:val="22"/>
                <w:szCs w:val="22"/>
              </w:rPr>
              <w:t xml:space="preserve">Six months from now, business conditions in the U.S. will be </w:t>
            </w:r>
            <w:r w:rsidRPr="00C25C98">
              <w:rPr>
                <w:rFonts w:asciiTheme="minorHAnsi" w:hAnsiTheme="minorHAnsi"/>
                <w:sz w:val="22"/>
                <w:szCs w:val="22"/>
                <w:u w:val="single"/>
              </w:rPr>
              <w:t>Better</w:t>
            </w:r>
            <w:r w:rsidRPr="00C25C98">
              <w:rPr>
                <w:rFonts w:asciiTheme="minorHAnsi" w:hAnsiTheme="minorHAnsi"/>
                <w:sz w:val="22"/>
                <w:szCs w:val="22"/>
              </w:rPr>
              <w:t>.</w:t>
            </w:r>
          </w:p>
        </w:tc>
        <w:tc>
          <w:tcPr>
            <w:tcW w:w="1350" w:type="dxa"/>
            <w:vAlign w:val="center"/>
          </w:tcPr>
          <w:p w:rsidR="00481431" w:rsidRPr="00481431" w:rsidRDefault="008226C7" w:rsidP="008D70F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r>
              <w:rPr>
                <w:rFonts w:asciiTheme="minorHAnsi" w:hAnsiTheme="minorHAnsi"/>
                <w:b/>
                <w:sz w:val="24"/>
                <w:szCs w:val="24"/>
              </w:rPr>
              <w:t>22</w:t>
            </w:r>
          </w:p>
        </w:tc>
        <w:tc>
          <w:tcPr>
            <w:tcW w:w="1548" w:type="dxa"/>
            <w:vAlign w:val="center"/>
          </w:tcPr>
          <w:p w:rsidR="00481431" w:rsidRPr="00481431" w:rsidRDefault="008226C7" w:rsidP="008226C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r w:rsidRPr="00481431">
              <w:rPr>
                <w:rFonts w:asciiTheme="minorHAnsi" w:hAnsiTheme="minorHAnsi"/>
                <w:b/>
                <w:noProof/>
                <w:sz w:val="24"/>
                <w:szCs w:val="24"/>
              </w:rPr>
              <mc:AlternateContent>
                <mc:Choice Requires="wps">
                  <w:drawing>
                    <wp:anchor distT="0" distB="0" distL="114300" distR="114300" simplePos="0" relativeHeight="251828736" behindDoc="0" locked="0" layoutInCell="1" allowOverlap="1" wp14:anchorId="047381DB" wp14:editId="5E494EED">
                      <wp:simplePos x="0" y="0"/>
                      <wp:positionH relativeFrom="column">
                        <wp:posOffset>316230</wp:posOffset>
                      </wp:positionH>
                      <wp:positionV relativeFrom="paragraph">
                        <wp:posOffset>-31115</wp:posOffset>
                      </wp:positionV>
                      <wp:extent cx="190500" cy="281305"/>
                      <wp:effectExtent l="0" t="0" r="0" b="4445"/>
                      <wp:wrapNone/>
                      <wp:docPr id="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1305"/>
                              </a:xfrm>
                              <a:prstGeom prst="downArrow">
                                <a:avLst>
                                  <a:gd name="adj1" fmla="val 50000"/>
                                  <a:gd name="adj2" fmla="val 36917"/>
                                </a:avLst>
                              </a:prstGeom>
                              <a:gradFill rotWithShape="0">
                                <a:gsLst>
                                  <a:gs pos="0">
                                    <a:srgbClr val="C00000"/>
                                  </a:gs>
                                  <a:gs pos="100000">
                                    <a:srgbClr val="C00000">
                                      <a:gamma/>
                                      <a:shade val="60000"/>
                                      <a:invGamma/>
                                    </a:srgbClr>
                                  </a:gs>
                                </a:gsLst>
                                <a:lin ang="0" scaled="1"/>
                              </a:gra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9" o:spid="_x0000_s1026" type="#_x0000_t67" style="position:absolute;margin-left:24.9pt;margin-top:-2.45pt;width:15pt;height:22.1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" fillcolor="#c00000" stroked="f" strokecolor="#f2f2f2" strokeweight="3pt">
                      <v:fill color2="#730000" angle="90" focus="100%" type="gradient"/>
                      <v:shadow color="#622423" opacity=".5" offset="1pt"/>
                    </v:shape>
                  </w:pict>
                </mc:Fallback>
              </mc:AlternateContent>
            </w:r>
            <w:r>
              <w:rPr>
                <w:rFonts w:asciiTheme="minorHAnsi" w:hAnsiTheme="minorHAnsi"/>
                <w:b/>
                <w:sz w:val="24"/>
                <w:szCs w:val="24"/>
              </w:rPr>
              <w:t>9</w:t>
            </w:r>
            <w:r w:rsidR="00BB1BA0">
              <w:rPr>
                <w:rFonts w:asciiTheme="minorHAnsi" w:hAnsiTheme="minorHAnsi"/>
                <w:b/>
                <w:sz w:val="24"/>
                <w:szCs w:val="24"/>
              </w:rPr>
              <w:t xml:space="preserve">% </w:t>
            </w:r>
          </w:p>
        </w:tc>
      </w:tr>
      <w:tr w:rsidR="00481431" w:rsidRPr="00A16353" w:rsidTr="00C25C98">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958" w:type="dxa"/>
            <w:vAlign w:val="center"/>
          </w:tcPr>
          <w:p w:rsidR="00481431" w:rsidRPr="00C25C98" w:rsidRDefault="00481431" w:rsidP="002E21FD">
            <w:pPr>
              <w:jc w:val="center"/>
              <w:rPr>
                <w:rFonts w:asciiTheme="minorHAnsi" w:hAnsiTheme="minorHAnsi"/>
                <w:b w:val="0"/>
                <w:sz w:val="22"/>
                <w:szCs w:val="22"/>
              </w:rPr>
            </w:pPr>
            <w:r w:rsidRPr="00C25C98">
              <w:rPr>
                <w:rFonts w:asciiTheme="minorHAnsi" w:hAnsiTheme="minorHAnsi"/>
                <w:sz w:val="22"/>
                <w:szCs w:val="22"/>
              </w:rPr>
              <w:t xml:space="preserve">Business conditions in Middle Tennessee are </w:t>
            </w:r>
            <w:r w:rsidRPr="00C25C98">
              <w:rPr>
                <w:rFonts w:asciiTheme="minorHAnsi" w:hAnsiTheme="minorHAnsi"/>
                <w:sz w:val="22"/>
                <w:szCs w:val="22"/>
                <w:u w:val="single"/>
              </w:rPr>
              <w:t>Good</w:t>
            </w:r>
            <w:r w:rsidRPr="00C25C98">
              <w:rPr>
                <w:rFonts w:asciiTheme="minorHAnsi" w:hAnsiTheme="minorHAnsi"/>
                <w:sz w:val="22"/>
                <w:szCs w:val="22"/>
              </w:rPr>
              <w:t>.</w:t>
            </w:r>
          </w:p>
        </w:tc>
        <w:tc>
          <w:tcPr>
            <w:tcW w:w="1350" w:type="dxa"/>
            <w:vAlign w:val="center"/>
          </w:tcPr>
          <w:p w:rsidR="00481431" w:rsidRPr="00481431" w:rsidRDefault="008226C7" w:rsidP="006C47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Pr>
                <w:rFonts w:asciiTheme="minorHAnsi" w:hAnsiTheme="minorHAnsi"/>
                <w:b/>
                <w:sz w:val="24"/>
                <w:szCs w:val="24"/>
              </w:rPr>
              <w:t>51</w:t>
            </w:r>
          </w:p>
        </w:tc>
        <w:tc>
          <w:tcPr>
            <w:tcW w:w="1548" w:type="dxa"/>
            <w:vAlign w:val="center"/>
          </w:tcPr>
          <w:p w:rsidR="00481431" w:rsidRPr="00481431" w:rsidRDefault="008226C7" w:rsidP="008226C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sidRPr="00481431">
              <w:rPr>
                <w:rFonts w:asciiTheme="minorHAnsi" w:hAnsiTheme="minorHAnsi"/>
                <w:b/>
                <w:noProof/>
                <w:sz w:val="24"/>
                <w:szCs w:val="24"/>
              </w:rPr>
              <mc:AlternateContent>
                <mc:Choice Requires="wps">
                  <w:drawing>
                    <wp:anchor distT="0" distB="0" distL="114300" distR="114300" simplePos="0" relativeHeight="251830784" behindDoc="0" locked="0" layoutInCell="1" allowOverlap="1" wp14:anchorId="0C811DA5" wp14:editId="505AE961">
                      <wp:simplePos x="0" y="0"/>
                      <wp:positionH relativeFrom="column">
                        <wp:posOffset>299720</wp:posOffset>
                      </wp:positionH>
                      <wp:positionV relativeFrom="paragraph">
                        <wp:posOffset>-48895</wp:posOffset>
                      </wp:positionV>
                      <wp:extent cx="178435" cy="281305"/>
                      <wp:effectExtent l="0" t="0" r="0" b="4445"/>
                      <wp:wrapNone/>
                      <wp:docPr id="8"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81305"/>
                              </a:xfrm>
                              <a:prstGeom prst="upArrow">
                                <a:avLst>
                                  <a:gd name="adj1" fmla="val 50000"/>
                                  <a:gd name="adj2" fmla="val 39413"/>
                                </a:avLst>
                              </a:prstGeom>
                              <a:solidFill>
                                <a:srgbClr val="00B050"/>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o:spid="_x0000_s1026" type="#_x0000_t68" style="position:absolute;margin-left:23.6pt;margin-top:-3.85pt;width:14.05pt;height:22.1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" fillcolor="#00b050" stroked="f"/>
                  </w:pict>
                </mc:Fallback>
              </mc:AlternateContent>
            </w:r>
            <w:r>
              <w:rPr>
                <w:rFonts w:asciiTheme="minorHAnsi" w:hAnsiTheme="minorHAnsi"/>
                <w:b/>
                <w:sz w:val="24"/>
                <w:szCs w:val="24"/>
              </w:rPr>
              <w:t>3</w:t>
            </w:r>
            <w:r w:rsidR="00481431" w:rsidRPr="00481431">
              <w:rPr>
                <w:rFonts w:asciiTheme="minorHAnsi" w:hAnsiTheme="minorHAnsi"/>
                <w:b/>
                <w:sz w:val="24"/>
                <w:szCs w:val="24"/>
              </w:rPr>
              <w:t>%</w:t>
            </w:r>
          </w:p>
        </w:tc>
      </w:tr>
      <w:tr w:rsidR="00481431" w:rsidRPr="00A16353" w:rsidTr="00C25C98">
        <w:trPr>
          <w:cnfStyle w:val="000000010000" w:firstRow="0" w:lastRow="0" w:firstColumn="0" w:lastColumn="0" w:oddVBand="0" w:evenVBand="0" w:oddHBand="0" w:evenHBand="1"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5958" w:type="dxa"/>
            <w:vAlign w:val="center"/>
          </w:tcPr>
          <w:p w:rsidR="00481431" w:rsidRPr="00C25C98" w:rsidRDefault="00481431" w:rsidP="008D70F0">
            <w:pPr>
              <w:jc w:val="center"/>
              <w:rPr>
                <w:rFonts w:asciiTheme="minorHAnsi" w:hAnsiTheme="minorHAnsi"/>
                <w:b w:val="0"/>
                <w:sz w:val="22"/>
                <w:szCs w:val="22"/>
              </w:rPr>
            </w:pPr>
            <w:r w:rsidRPr="00C25C98">
              <w:rPr>
                <w:rFonts w:asciiTheme="minorHAnsi" w:hAnsiTheme="minorHAnsi"/>
                <w:sz w:val="22"/>
                <w:szCs w:val="22"/>
              </w:rPr>
              <w:t xml:space="preserve">Six months from now, business conditions in Middle Tennessee will be </w:t>
            </w:r>
            <w:r w:rsidRPr="00C25C98">
              <w:rPr>
                <w:rFonts w:asciiTheme="minorHAnsi" w:hAnsiTheme="minorHAnsi"/>
                <w:sz w:val="22"/>
                <w:szCs w:val="22"/>
                <w:u w:val="single"/>
              </w:rPr>
              <w:t>Better</w:t>
            </w:r>
            <w:r w:rsidRPr="00C25C98">
              <w:rPr>
                <w:rFonts w:asciiTheme="minorHAnsi" w:hAnsiTheme="minorHAnsi"/>
                <w:sz w:val="22"/>
                <w:szCs w:val="22"/>
              </w:rPr>
              <w:t>.</w:t>
            </w:r>
          </w:p>
        </w:tc>
        <w:tc>
          <w:tcPr>
            <w:tcW w:w="1350" w:type="dxa"/>
            <w:vAlign w:val="center"/>
          </w:tcPr>
          <w:p w:rsidR="00481431" w:rsidRPr="00481431" w:rsidRDefault="008226C7" w:rsidP="008D70F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r>
              <w:rPr>
                <w:rFonts w:asciiTheme="minorHAnsi" w:hAnsiTheme="minorHAnsi"/>
                <w:b/>
                <w:sz w:val="24"/>
                <w:szCs w:val="24"/>
              </w:rPr>
              <w:t>33</w:t>
            </w:r>
          </w:p>
        </w:tc>
        <w:tc>
          <w:tcPr>
            <w:tcW w:w="1548" w:type="dxa"/>
            <w:vAlign w:val="center"/>
          </w:tcPr>
          <w:p w:rsidR="00481431" w:rsidRPr="00481431" w:rsidRDefault="008226C7" w:rsidP="008226C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r>
              <w:rPr>
                <w:rFonts w:asciiTheme="minorHAnsi" w:hAnsiTheme="minorHAnsi"/>
                <w:b/>
                <w:sz w:val="24"/>
                <w:szCs w:val="24"/>
              </w:rPr>
              <w:t>No Change</w:t>
            </w:r>
          </w:p>
        </w:tc>
      </w:tr>
      <w:tr w:rsidR="00481431" w:rsidRPr="00A16353" w:rsidTr="00C25C98">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958" w:type="dxa"/>
            <w:vAlign w:val="center"/>
          </w:tcPr>
          <w:p w:rsidR="00481431" w:rsidRPr="00C25C98" w:rsidRDefault="00481431" w:rsidP="008D70F0">
            <w:pPr>
              <w:jc w:val="center"/>
              <w:rPr>
                <w:rFonts w:asciiTheme="minorHAnsi" w:hAnsiTheme="minorHAnsi"/>
                <w:b w:val="0"/>
                <w:sz w:val="22"/>
                <w:szCs w:val="22"/>
              </w:rPr>
            </w:pPr>
            <w:r w:rsidRPr="00C25C98">
              <w:rPr>
                <w:rFonts w:asciiTheme="minorHAnsi" w:hAnsiTheme="minorHAnsi"/>
                <w:sz w:val="22"/>
                <w:szCs w:val="22"/>
              </w:rPr>
              <w:t xml:space="preserve">Jobs in Middle Tennessee are </w:t>
            </w:r>
            <w:r w:rsidRPr="00C25C98">
              <w:rPr>
                <w:rFonts w:asciiTheme="minorHAnsi" w:hAnsiTheme="minorHAnsi"/>
                <w:sz w:val="22"/>
                <w:szCs w:val="22"/>
                <w:u w:val="single"/>
              </w:rPr>
              <w:t>Easy To Find</w:t>
            </w:r>
            <w:r w:rsidRPr="00C25C98">
              <w:rPr>
                <w:rFonts w:asciiTheme="minorHAnsi" w:hAnsiTheme="minorHAnsi"/>
                <w:sz w:val="22"/>
                <w:szCs w:val="22"/>
              </w:rPr>
              <w:t>.</w:t>
            </w:r>
          </w:p>
        </w:tc>
        <w:tc>
          <w:tcPr>
            <w:tcW w:w="1350" w:type="dxa"/>
            <w:vAlign w:val="center"/>
          </w:tcPr>
          <w:p w:rsidR="00481431" w:rsidRPr="00481431" w:rsidRDefault="008226C7" w:rsidP="008D70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Pr>
                <w:rFonts w:asciiTheme="minorHAnsi" w:hAnsiTheme="minorHAnsi"/>
                <w:b/>
                <w:sz w:val="24"/>
                <w:szCs w:val="24"/>
              </w:rPr>
              <w:t>14</w:t>
            </w:r>
          </w:p>
        </w:tc>
        <w:tc>
          <w:tcPr>
            <w:tcW w:w="1548" w:type="dxa"/>
            <w:vAlign w:val="center"/>
          </w:tcPr>
          <w:p w:rsidR="00481431" w:rsidRPr="00481431" w:rsidRDefault="008226C7" w:rsidP="008226C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sidRPr="00481431">
              <w:rPr>
                <w:rFonts w:asciiTheme="minorHAnsi" w:hAnsiTheme="minorHAnsi"/>
                <w:b/>
                <w:noProof/>
                <w:sz w:val="24"/>
                <w:szCs w:val="24"/>
              </w:rPr>
              <mc:AlternateContent>
                <mc:Choice Requires="wps">
                  <w:drawing>
                    <wp:anchor distT="0" distB="0" distL="114300" distR="114300" simplePos="0" relativeHeight="251832832" behindDoc="0" locked="0" layoutInCell="1" allowOverlap="1" wp14:anchorId="2AA4B719" wp14:editId="0C10FEDF">
                      <wp:simplePos x="0" y="0"/>
                      <wp:positionH relativeFrom="column">
                        <wp:posOffset>306070</wp:posOffset>
                      </wp:positionH>
                      <wp:positionV relativeFrom="paragraph">
                        <wp:posOffset>-53975</wp:posOffset>
                      </wp:positionV>
                      <wp:extent cx="190500" cy="281305"/>
                      <wp:effectExtent l="0" t="0" r="0" b="4445"/>
                      <wp:wrapNone/>
                      <wp:docPr id="9"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1305"/>
                              </a:xfrm>
                              <a:prstGeom prst="downArrow">
                                <a:avLst>
                                  <a:gd name="adj1" fmla="val 50000"/>
                                  <a:gd name="adj2" fmla="val 36917"/>
                                </a:avLst>
                              </a:prstGeom>
                              <a:gradFill rotWithShape="0">
                                <a:gsLst>
                                  <a:gs pos="0">
                                    <a:srgbClr val="C00000"/>
                                  </a:gs>
                                  <a:gs pos="100000">
                                    <a:srgbClr val="C00000">
                                      <a:gamma/>
                                      <a:shade val="60000"/>
                                      <a:invGamma/>
                                    </a:srgbClr>
                                  </a:gs>
                                </a:gsLst>
                                <a:lin ang="0" scaled="1"/>
                              </a:gra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9" o:spid="_x0000_s1026" type="#_x0000_t67" style="position:absolute;margin-left:24.1pt;margin-top:-4.25pt;width:15pt;height:22.1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" fillcolor="#c00000" stroked="f" strokecolor="#f2f2f2" strokeweight="3pt">
                      <v:fill color2="#730000" angle="90" focus="100%" type="gradient"/>
                      <v:shadow color="#622423" opacity=".5" offset="1pt"/>
                    </v:shape>
                  </w:pict>
                </mc:Fallback>
              </mc:AlternateContent>
            </w:r>
            <w:r>
              <w:rPr>
                <w:rFonts w:asciiTheme="minorHAnsi" w:hAnsiTheme="minorHAnsi"/>
                <w:b/>
                <w:sz w:val="24"/>
                <w:szCs w:val="24"/>
              </w:rPr>
              <w:t>2</w:t>
            </w:r>
            <w:r w:rsidR="00220A98">
              <w:rPr>
                <w:rFonts w:asciiTheme="minorHAnsi" w:hAnsiTheme="minorHAnsi"/>
                <w:b/>
                <w:sz w:val="24"/>
                <w:szCs w:val="24"/>
              </w:rPr>
              <w:t>%</w:t>
            </w:r>
          </w:p>
        </w:tc>
      </w:tr>
      <w:tr w:rsidR="00481431" w:rsidRPr="00A16353" w:rsidTr="00C25C98">
        <w:trPr>
          <w:cnfStyle w:val="000000010000" w:firstRow="0" w:lastRow="0" w:firstColumn="0" w:lastColumn="0" w:oddVBand="0" w:evenVBand="0" w:oddHBand="0" w:evenHBand="1"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958" w:type="dxa"/>
            <w:vAlign w:val="center"/>
          </w:tcPr>
          <w:p w:rsidR="00481431" w:rsidRPr="00C25C98" w:rsidRDefault="00481431" w:rsidP="008D70F0">
            <w:pPr>
              <w:jc w:val="center"/>
              <w:rPr>
                <w:rFonts w:asciiTheme="minorHAnsi" w:hAnsiTheme="minorHAnsi"/>
                <w:b w:val="0"/>
                <w:sz w:val="22"/>
                <w:szCs w:val="22"/>
              </w:rPr>
            </w:pPr>
            <w:r w:rsidRPr="00C25C98">
              <w:rPr>
                <w:rFonts w:asciiTheme="minorHAnsi" w:hAnsiTheme="minorHAnsi"/>
                <w:sz w:val="22"/>
                <w:szCs w:val="22"/>
              </w:rPr>
              <w:t xml:space="preserve">Six months from now there will be </w:t>
            </w:r>
            <w:r w:rsidRPr="00C25C98">
              <w:rPr>
                <w:rFonts w:asciiTheme="minorHAnsi" w:hAnsiTheme="minorHAnsi"/>
                <w:sz w:val="22"/>
                <w:szCs w:val="22"/>
                <w:u w:val="single"/>
              </w:rPr>
              <w:t>More Job Openings</w:t>
            </w:r>
            <w:r w:rsidRPr="00C25C98">
              <w:rPr>
                <w:rFonts w:asciiTheme="minorHAnsi" w:hAnsiTheme="minorHAnsi"/>
                <w:sz w:val="22"/>
                <w:szCs w:val="22"/>
              </w:rPr>
              <w:t xml:space="preserve"> in Middle Tennessee</w:t>
            </w:r>
          </w:p>
        </w:tc>
        <w:tc>
          <w:tcPr>
            <w:tcW w:w="1350" w:type="dxa"/>
            <w:vAlign w:val="center"/>
          </w:tcPr>
          <w:p w:rsidR="00481431" w:rsidRPr="00481431" w:rsidRDefault="008226C7" w:rsidP="008D70F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r>
              <w:rPr>
                <w:rFonts w:asciiTheme="minorHAnsi" w:hAnsiTheme="minorHAnsi"/>
                <w:b/>
                <w:sz w:val="24"/>
                <w:szCs w:val="24"/>
              </w:rPr>
              <w:t>38</w:t>
            </w:r>
          </w:p>
        </w:tc>
        <w:tc>
          <w:tcPr>
            <w:tcW w:w="1548" w:type="dxa"/>
            <w:vAlign w:val="center"/>
          </w:tcPr>
          <w:p w:rsidR="00481431" w:rsidRPr="00481431" w:rsidRDefault="008226C7" w:rsidP="008D70F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r w:rsidRPr="00481431">
              <w:rPr>
                <w:rFonts w:asciiTheme="minorHAnsi" w:hAnsiTheme="minorHAnsi"/>
                <w:b/>
                <w:noProof/>
                <w:sz w:val="24"/>
                <w:szCs w:val="24"/>
              </w:rPr>
              <mc:AlternateContent>
                <mc:Choice Requires="wps">
                  <w:drawing>
                    <wp:anchor distT="0" distB="0" distL="114300" distR="114300" simplePos="0" relativeHeight="251834880" behindDoc="0" locked="0" layoutInCell="1" allowOverlap="1" wp14:anchorId="686AA300" wp14:editId="5DFC2C69">
                      <wp:simplePos x="0" y="0"/>
                      <wp:positionH relativeFrom="column">
                        <wp:posOffset>316230</wp:posOffset>
                      </wp:positionH>
                      <wp:positionV relativeFrom="paragraph">
                        <wp:posOffset>122555</wp:posOffset>
                      </wp:positionV>
                      <wp:extent cx="178435" cy="281305"/>
                      <wp:effectExtent l="0" t="0" r="0" b="4445"/>
                      <wp:wrapNone/>
                      <wp:docPr id="10"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81305"/>
                              </a:xfrm>
                              <a:prstGeom prst="upArrow">
                                <a:avLst>
                                  <a:gd name="adj1" fmla="val 50000"/>
                                  <a:gd name="adj2" fmla="val 39413"/>
                                </a:avLst>
                              </a:prstGeom>
                              <a:solidFill>
                                <a:srgbClr val="00B050"/>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o:spid="_x0000_s1026" type="#_x0000_t68" style="position:absolute;margin-left:24.9pt;margin-top:9.65pt;width:14.05pt;height:22.1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" fillcolor="#00b050" stroked="f"/>
                  </w:pict>
                </mc:Fallback>
              </mc:AlternateContent>
            </w:r>
          </w:p>
          <w:p w:rsidR="00481431" w:rsidRPr="00481431" w:rsidRDefault="008226C7" w:rsidP="008D70F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r>
              <w:rPr>
                <w:rFonts w:asciiTheme="minorHAnsi" w:hAnsiTheme="minorHAnsi"/>
                <w:b/>
                <w:sz w:val="24"/>
                <w:szCs w:val="24"/>
              </w:rPr>
              <w:t>5</w:t>
            </w:r>
            <w:r w:rsidR="00481431" w:rsidRPr="00481431">
              <w:rPr>
                <w:rFonts w:asciiTheme="minorHAnsi" w:hAnsiTheme="minorHAnsi"/>
                <w:b/>
                <w:sz w:val="24"/>
                <w:szCs w:val="24"/>
              </w:rPr>
              <w:t xml:space="preserve"> %</w:t>
            </w:r>
          </w:p>
          <w:p w:rsidR="00481431" w:rsidRPr="00481431" w:rsidRDefault="00481431" w:rsidP="008D70F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p>
        </w:tc>
      </w:tr>
      <w:tr w:rsidR="00481431" w:rsidRPr="00A16353" w:rsidTr="00C25C98">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958" w:type="dxa"/>
            <w:vAlign w:val="center"/>
          </w:tcPr>
          <w:p w:rsidR="00481431" w:rsidRPr="00C25C98" w:rsidRDefault="00481431" w:rsidP="008D70F0">
            <w:pPr>
              <w:jc w:val="center"/>
              <w:rPr>
                <w:rFonts w:asciiTheme="minorHAnsi" w:hAnsiTheme="minorHAnsi"/>
                <w:b w:val="0"/>
                <w:sz w:val="22"/>
                <w:szCs w:val="22"/>
              </w:rPr>
            </w:pPr>
            <w:r w:rsidRPr="00C25C98">
              <w:rPr>
                <w:rFonts w:asciiTheme="minorHAnsi" w:hAnsiTheme="minorHAnsi"/>
                <w:sz w:val="22"/>
                <w:szCs w:val="22"/>
              </w:rPr>
              <w:t xml:space="preserve">I am </w:t>
            </w:r>
            <w:r w:rsidRPr="00C25C98">
              <w:rPr>
                <w:rFonts w:asciiTheme="minorHAnsi" w:hAnsiTheme="minorHAnsi"/>
                <w:sz w:val="22"/>
                <w:szCs w:val="22"/>
                <w:u w:val="single"/>
              </w:rPr>
              <w:t>Better Off Financially</w:t>
            </w:r>
            <w:r w:rsidRPr="00C25C98">
              <w:rPr>
                <w:rFonts w:asciiTheme="minorHAnsi" w:hAnsiTheme="minorHAnsi"/>
                <w:sz w:val="22"/>
                <w:szCs w:val="22"/>
              </w:rPr>
              <w:t xml:space="preserve"> than I was one year ago.</w:t>
            </w:r>
          </w:p>
        </w:tc>
        <w:tc>
          <w:tcPr>
            <w:tcW w:w="1350" w:type="dxa"/>
            <w:vAlign w:val="center"/>
          </w:tcPr>
          <w:p w:rsidR="00481431" w:rsidRPr="00481431" w:rsidRDefault="008226C7" w:rsidP="008D70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Pr>
                <w:rFonts w:asciiTheme="minorHAnsi" w:hAnsiTheme="minorHAnsi"/>
                <w:b/>
                <w:sz w:val="24"/>
                <w:szCs w:val="24"/>
              </w:rPr>
              <w:t>25</w:t>
            </w:r>
          </w:p>
        </w:tc>
        <w:tc>
          <w:tcPr>
            <w:tcW w:w="1548" w:type="dxa"/>
            <w:vAlign w:val="center"/>
          </w:tcPr>
          <w:p w:rsidR="00481431" w:rsidRPr="00481431" w:rsidRDefault="00DF0F39" w:rsidP="00DF0F3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sidRPr="00481431">
              <w:rPr>
                <w:rFonts w:asciiTheme="minorHAnsi" w:hAnsiTheme="minorHAnsi"/>
                <w:b/>
                <w:noProof/>
                <w:sz w:val="24"/>
                <w:szCs w:val="24"/>
              </w:rPr>
              <mc:AlternateContent>
                <mc:Choice Requires="wps">
                  <w:drawing>
                    <wp:anchor distT="0" distB="0" distL="114300" distR="114300" simplePos="0" relativeHeight="251836928" behindDoc="0" locked="0" layoutInCell="1" allowOverlap="1" wp14:anchorId="2BFA5249" wp14:editId="3D337B55">
                      <wp:simplePos x="0" y="0"/>
                      <wp:positionH relativeFrom="column">
                        <wp:posOffset>302895</wp:posOffset>
                      </wp:positionH>
                      <wp:positionV relativeFrom="paragraph">
                        <wp:posOffset>-57150</wp:posOffset>
                      </wp:positionV>
                      <wp:extent cx="190500" cy="281305"/>
                      <wp:effectExtent l="0" t="0" r="0" b="4445"/>
                      <wp:wrapNone/>
                      <wp:docPr id="11"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1305"/>
                              </a:xfrm>
                              <a:prstGeom prst="downArrow">
                                <a:avLst>
                                  <a:gd name="adj1" fmla="val 50000"/>
                                  <a:gd name="adj2" fmla="val 36917"/>
                                </a:avLst>
                              </a:prstGeom>
                              <a:gradFill rotWithShape="0">
                                <a:gsLst>
                                  <a:gs pos="0">
                                    <a:srgbClr val="C00000"/>
                                  </a:gs>
                                  <a:gs pos="100000">
                                    <a:srgbClr val="C00000">
                                      <a:gamma/>
                                      <a:shade val="60000"/>
                                      <a:invGamma/>
                                    </a:srgbClr>
                                  </a:gs>
                                </a:gsLst>
                                <a:lin ang="0" scaled="1"/>
                              </a:gra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9" o:spid="_x0000_s1026" type="#_x0000_t67" style="position:absolute;margin-left:23.85pt;margin-top:-4.5pt;width:15pt;height:22.1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" fillcolor="#c00000" stroked="f" strokecolor="#f2f2f2" strokeweight="3pt">
                      <v:fill color2="#730000" angle="90" focus="100%" type="gradient"/>
                      <v:shadow color="#622423" opacity=".5" offset="1pt"/>
                    </v:shape>
                  </w:pict>
                </mc:Fallback>
              </mc:AlternateContent>
            </w:r>
            <w:r>
              <w:rPr>
                <w:rFonts w:asciiTheme="minorHAnsi" w:hAnsiTheme="minorHAnsi"/>
                <w:b/>
                <w:sz w:val="24"/>
                <w:szCs w:val="24"/>
              </w:rPr>
              <w:t>4</w:t>
            </w:r>
            <w:r w:rsidR="00220A98">
              <w:rPr>
                <w:rFonts w:asciiTheme="minorHAnsi" w:hAnsiTheme="minorHAnsi"/>
                <w:b/>
                <w:sz w:val="24"/>
                <w:szCs w:val="24"/>
              </w:rPr>
              <w:t>%</w:t>
            </w:r>
          </w:p>
        </w:tc>
      </w:tr>
      <w:tr w:rsidR="00481431" w:rsidRPr="00A16353" w:rsidTr="00C25C98">
        <w:trPr>
          <w:cnfStyle w:val="000000010000" w:firstRow="0" w:lastRow="0" w:firstColumn="0" w:lastColumn="0" w:oddVBand="0" w:evenVBand="0" w:oddHBand="0" w:evenHBand="1"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958" w:type="dxa"/>
            <w:vAlign w:val="center"/>
          </w:tcPr>
          <w:p w:rsidR="00481431" w:rsidRPr="00C25C98" w:rsidRDefault="00481431" w:rsidP="008D70F0">
            <w:pPr>
              <w:jc w:val="center"/>
              <w:rPr>
                <w:rFonts w:asciiTheme="minorHAnsi" w:hAnsiTheme="minorHAnsi"/>
                <w:b w:val="0"/>
                <w:sz w:val="22"/>
                <w:szCs w:val="22"/>
              </w:rPr>
            </w:pPr>
            <w:r w:rsidRPr="00C25C98">
              <w:rPr>
                <w:rFonts w:asciiTheme="minorHAnsi" w:hAnsiTheme="minorHAnsi"/>
                <w:sz w:val="22"/>
                <w:szCs w:val="22"/>
              </w:rPr>
              <w:t xml:space="preserve">12 months from now I will be </w:t>
            </w:r>
            <w:r w:rsidRPr="00C25C98">
              <w:rPr>
                <w:rFonts w:asciiTheme="minorHAnsi" w:hAnsiTheme="minorHAnsi"/>
                <w:sz w:val="22"/>
                <w:szCs w:val="22"/>
                <w:u w:val="single"/>
              </w:rPr>
              <w:t>Better Off Financially</w:t>
            </w:r>
            <w:r w:rsidRPr="00C25C98">
              <w:rPr>
                <w:rFonts w:asciiTheme="minorHAnsi" w:hAnsiTheme="minorHAnsi"/>
                <w:sz w:val="22"/>
                <w:szCs w:val="22"/>
              </w:rPr>
              <w:t xml:space="preserve"> than I am today.</w:t>
            </w:r>
          </w:p>
        </w:tc>
        <w:tc>
          <w:tcPr>
            <w:tcW w:w="1350" w:type="dxa"/>
            <w:vAlign w:val="center"/>
          </w:tcPr>
          <w:p w:rsidR="00481431" w:rsidRPr="00481431" w:rsidRDefault="008226C7" w:rsidP="008D70F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r>
              <w:rPr>
                <w:rFonts w:asciiTheme="minorHAnsi" w:hAnsiTheme="minorHAnsi"/>
                <w:b/>
                <w:sz w:val="24"/>
                <w:szCs w:val="24"/>
              </w:rPr>
              <w:t>32</w:t>
            </w:r>
          </w:p>
        </w:tc>
        <w:tc>
          <w:tcPr>
            <w:tcW w:w="1548" w:type="dxa"/>
            <w:vAlign w:val="center"/>
          </w:tcPr>
          <w:p w:rsidR="00481431" w:rsidRPr="00481431" w:rsidRDefault="00453C72" w:rsidP="00B35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r w:rsidRPr="00481431">
              <w:rPr>
                <w:rFonts w:asciiTheme="minorHAnsi" w:hAnsiTheme="minorHAnsi"/>
                <w:b/>
                <w:noProof/>
                <w:sz w:val="24"/>
                <w:szCs w:val="24"/>
              </w:rPr>
              <mc:AlternateContent>
                <mc:Choice Requires="wps">
                  <w:drawing>
                    <wp:anchor distT="0" distB="0" distL="114300" distR="114300" simplePos="0" relativeHeight="251824640" behindDoc="0" locked="0" layoutInCell="1" allowOverlap="1" wp14:anchorId="7431AA49" wp14:editId="305E9D98">
                      <wp:simplePos x="0" y="0"/>
                      <wp:positionH relativeFrom="column">
                        <wp:posOffset>289560</wp:posOffset>
                      </wp:positionH>
                      <wp:positionV relativeFrom="paragraph">
                        <wp:posOffset>-50165</wp:posOffset>
                      </wp:positionV>
                      <wp:extent cx="190500" cy="281305"/>
                      <wp:effectExtent l="0" t="0" r="0" b="4445"/>
                      <wp:wrapNone/>
                      <wp:docPr id="17"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1305"/>
                              </a:xfrm>
                              <a:prstGeom prst="downArrow">
                                <a:avLst>
                                  <a:gd name="adj1" fmla="val 50000"/>
                                  <a:gd name="adj2" fmla="val 36917"/>
                                </a:avLst>
                              </a:prstGeom>
                              <a:gradFill rotWithShape="0">
                                <a:gsLst>
                                  <a:gs pos="0">
                                    <a:srgbClr val="C00000"/>
                                  </a:gs>
                                  <a:gs pos="100000">
                                    <a:srgbClr val="C00000">
                                      <a:gamma/>
                                      <a:shade val="60000"/>
                                      <a:invGamma/>
                                    </a:srgbClr>
                                  </a:gs>
                                </a:gsLst>
                                <a:lin ang="0" scaled="1"/>
                              </a:gra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9" o:spid="_x0000_s1026" type="#_x0000_t67" style="position:absolute;margin-left:22.8pt;margin-top:-3.95pt;width:15pt;height:22.1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" fillcolor="#c00000" stroked="f" strokecolor="#f2f2f2" strokeweight="3pt">
                      <v:fill color2="#730000" angle="90" focus="100%" type="gradient"/>
                      <v:shadow color="#622423" opacity=".5" offset="1pt"/>
                    </v:shape>
                  </w:pict>
                </mc:Fallback>
              </mc:AlternateContent>
            </w:r>
            <w:r w:rsidR="00DF0F39">
              <w:rPr>
                <w:rFonts w:asciiTheme="minorHAnsi" w:hAnsiTheme="minorHAnsi"/>
                <w:b/>
                <w:sz w:val="24"/>
                <w:szCs w:val="24"/>
              </w:rPr>
              <w:t>1</w:t>
            </w:r>
            <w:r w:rsidR="00481431" w:rsidRPr="00481431">
              <w:rPr>
                <w:rFonts w:asciiTheme="minorHAnsi" w:hAnsiTheme="minorHAnsi"/>
                <w:b/>
                <w:sz w:val="24"/>
                <w:szCs w:val="24"/>
              </w:rPr>
              <w:t>%</w:t>
            </w:r>
          </w:p>
        </w:tc>
      </w:tr>
      <w:tr w:rsidR="00481431" w:rsidRPr="00A16353" w:rsidTr="00C25C98">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958" w:type="dxa"/>
            <w:vAlign w:val="center"/>
          </w:tcPr>
          <w:p w:rsidR="00481431" w:rsidRPr="00C25C98" w:rsidRDefault="00481431" w:rsidP="008D70F0">
            <w:pPr>
              <w:jc w:val="center"/>
              <w:rPr>
                <w:rFonts w:asciiTheme="minorHAnsi" w:hAnsiTheme="minorHAnsi"/>
                <w:b w:val="0"/>
                <w:sz w:val="22"/>
                <w:szCs w:val="22"/>
              </w:rPr>
            </w:pPr>
            <w:r w:rsidRPr="00C25C98">
              <w:rPr>
                <w:rFonts w:asciiTheme="minorHAnsi" w:hAnsiTheme="minorHAnsi"/>
                <w:sz w:val="22"/>
                <w:szCs w:val="22"/>
              </w:rPr>
              <w:t xml:space="preserve">Now is a </w:t>
            </w:r>
            <w:r w:rsidRPr="00C25C98">
              <w:rPr>
                <w:rFonts w:asciiTheme="minorHAnsi" w:hAnsiTheme="minorHAnsi"/>
                <w:sz w:val="22"/>
                <w:szCs w:val="22"/>
                <w:u w:val="single"/>
              </w:rPr>
              <w:t>Good Time To Make Large Purchases</w:t>
            </w:r>
            <w:r w:rsidRPr="00C25C98">
              <w:rPr>
                <w:rFonts w:asciiTheme="minorHAnsi" w:hAnsiTheme="minorHAnsi"/>
                <w:sz w:val="22"/>
                <w:szCs w:val="22"/>
              </w:rPr>
              <w:t>.</w:t>
            </w:r>
          </w:p>
        </w:tc>
        <w:tc>
          <w:tcPr>
            <w:tcW w:w="1350" w:type="dxa"/>
            <w:vAlign w:val="center"/>
          </w:tcPr>
          <w:p w:rsidR="00481431" w:rsidRPr="00481431" w:rsidRDefault="008226C7" w:rsidP="008D70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Pr>
                <w:rFonts w:asciiTheme="minorHAnsi" w:hAnsiTheme="minorHAnsi"/>
                <w:b/>
                <w:sz w:val="24"/>
                <w:szCs w:val="24"/>
              </w:rPr>
              <w:t>32</w:t>
            </w:r>
          </w:p>
        </w:tc>
        <w:tc>
          <w:tcPr>
            <w:tcW w:w="1548" w:type="dxa"/>
            <w:vAlign w:val="center"/>
          </w:tcPr>
          <w:p w:rsidR="00481431" w:rsidRPr="00481431" w:rsidRDefault="00DF0F39" w:rsidP="00DF0F3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Pr>
                <w:rFonts w:asciiTheme="minorHAnsi" w:hAnsiTheme="minorHAnsi"/>
                <w:b/>
                <w:sz w:val="24"/>
                <w:szCs w:val="24"/>
              </w:rPr>
              <w:t>No Change</w:t>
            </w:r>
          </w:p>
        </w:tc>
      </w:tr>
      <w:tr w:rsidR="00481431" w:rsidRPr="00A16353" w:rsidTr="00C25C98">
        <w:trPr>
          <w:cnfStyle w:val="000000010000" w:firstRow="0" w:lastRow="0" w:firstColumn="0" w:lastColumn="0" w:oddVBand="0" w:evenVBand="0" w:oddHBand="0" w:evenHBand="1"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958" w:type="dxa"/>
            <w:vAlign w:val="center"/>
          </w:tcPr>
          <w:p w:rsidR="00481431" w:rsidRPr="00C25C98" w:rsidRDefault="00481431" w:rsidP="008D70F0">
            <w:pPr>
              <w:jc w:val="center"/>
              <w:rPr>
                <w:rFonts w:asciiTheme="minorHAnsi" w:hAnsiTheme="minorHAnsi"/>
                <w:b w:val="0"/>
                <w:sz w:val="22"/>
                <w:szCs w:val="22"/>
              </w:rPr>
            </w:pPr>
            <w:r w:rsidRPr="00C25C98">
              <w:rPr>
                <w:rFonts w:asciiTheme="minorHAnsi" w:hAnsiTheme="minorHAnsi"/>
                <w:sz w:val="22"/>
                <w:szCs w:val="22"/>
              </w:rPr>
              <w:t xml:space="preserve">Now is a </w:t>
            </w:r>
            <w:r w:rsidRPr="00C25C98">
              <w:rPr>
                <w:rFonts w:asciiTheme="minorHAnsi" w:hAnsiTheme="minorHAnsi"/>
                <w:sz w:val="22"/>
                <w:szCs w:val="22"/>
                <w:u w:val="single"/>
              </w:rPr>
              <w:t>Good Time To Buy A Home</w:t>
            </w:r>
            <w:r w:rsidRPr="00C25C98">
              <w:rPr>
                <w:rFonts w:asciiTheme="minorHAnsi" w:hAnsiTheme="minorHAnsi"/>
                <w:sz w:val="22"/>
                <w:szCs w:val="22"/>
              </w:rPr>
              <w:t>.</w:t>
            </w:r>
          </w:p>
        </w:tc>
        <w:tc>
          <w:tcPr>
            <w:tcW w:w="1350" w:type="dxa"/>
            <w:vAlign w:val="center"/>
          </w:tcPr>
          <w:p w:rsidR="00481431" w:rsidRPr="00481431" w:rsidRDefault="008226C7" w:rsidP="008D70F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r>
              <w:rPr>
                <w:rFonts w:asciiTheme="minorHAnsi" w:hAnsiTheme="minorHAnsi"/>
                <w:b/>
                <w:sz w:val="24"/>
                <w:szCs w:val="24"/>
              </w:rPr>
              <w:t>55</w:t>
            </w:r>
          </w:p>
        </w:tc>
        <w:tc>
          <w:tcPr>
            <w:tcW w:w="1548" w:type="dxa"/>
            <w:vAlign w:val="center"/>
          </w:tcPr>
          <w:p w:rsidR="00481431" w:rsidRPr="00481431" w:rsidRDefault="00DF0F39" w:rsidP="00DF0F3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sz w:val="24"/>
                <w:szCs w:val="24"/>
              </w:rPr>
            </w:pPr>
            <w:r w:rsidRPr="00481431">
              <w:rPr>
                <w:rFonts w:asciiTheme="minorHAnsi" w:hAnsiTheme="minorHAnsi"/>
                <w:b/>
                <w:noProof/>
                <w:sz w:val="24"/>
                <w:szCs w:val="24"/>
              </w:rPr>
              <mc:AlternateContent>
                <mc:Choice Requires="wps">
                  <w:drawing>
                    <wp:anchor distT="0" distB="0" distL="114300" distR="114300" simplePos="0" relativeHeight="251838976" behindDoc="0" locked="0" layoutInCell="1" allowOverlap="1" wp14:anchorId="1A0B9CBD" wp14:editId="4A88AC5E">
                      <wp:simplePos x="0" y="0"/>
                      <wp:positionH relativeFrom="column">
                        <wp:posOffset>313690</wp:posOffset>
                      </wp:positionH>
                      <wp:positionV relativeFrom="paragraph">
                        <wp:posOffset>-31115</wp:posOffset>
                      </wp:positionV>
                      <wp:extent cx="190500" cy="281305"/>
                      <wp:effectExtent l="0" t="0" r="0" b="4445"/>
                      <wp:wrapNone/>
                      <wp:docPr id="14"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1305"/>
                              </a:xfrm>
                              <a:prstGeom prst="downArrow">
                                <a:avLst>
                                  <a:gd name="adj1" fmla="val 50000"/>
                                  <a:gd name="adj2" fmla="val 36917"/>
                                </a:avLst>
                              </a:prstGeom>
                              <a:gradFill rotWithShape="0">
                                <a:gsLst>
                                  <a:gs pos="0">
                                    <a:srgbClr val="C00000"/>
                                  </a:gs>
                                  <a:gs pos="100000">
                                    <a:srgbClr val="C00000">
                                      <a:gamma/>
                                      <a:shade val="60000"/>
                                      <a:invGamma/>
                                    </a:srgbClr>
                                  </a:gs>
                                </a:gsLst>
                                <a:lin ang="0" scaled="1"/>
                              </a:gra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9" o:spid="_x0000_s1026" type="#_x0000_t67" style="position:absolute;margin-left:24.7pt;margin-top:-2.45pt;width:15pt;height:22.1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" fillcolor="#c00000" stroked="f" strokecolor="#f2f2f2" strokeweight="3pt">
                      <v:fill color2="#730000" angle="90" focus="100%" type="gradient"/>
                      <v:shadow color="#622423" opacity=".5" offset="1pt"/>
                    </v:shape>
                  </w:pict>
                </mc:Fallback>
              </mc:AlternateContent>
            </w:r>
            <w:r>
              <w:rPr>
                <w:rFonts w:asciiTheme="minorHAnsi" w:hAnsiTheme="minorHAnsi"/>
                <w:b/>
                <w:sz w:val="24"/>
                <w:szCs w:val="24"/>
              </w:rPr>
              <w:t>1</w:t>
            </w:r>
            <w:r w:rsidR="00220A98">
              <w:rPr>
                <w:rFonts w:asciiTheme="minorHAnsi" w:hAnsiTheme="minorHAnsi"/>
                <w:b/>
                <w:sz w:val="24"/>
                <w:szCs w:val="24"/>
              </w:rPr>
              <w:t>%</w:t>
            </w:r>
          </w:p>
        </w:tc>
      </w:tr>
      <w:tr w:rsidR="00481431" w:rsidRPr="00A16353" w:rsidTr="00C25C98">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958" w:type="dxa"/>
            <w:vAlign w:val="center"/>
          </w:tcPr>
          <w:p w:rsidR="00481431" w:rsidRPr="00C25C98" w:rsidRDefault="00481431" w:rsidP="008D70F0">
            <w:pPr>
              <w:jc w:val="center"/>
              <w:rPr>
                <w:rFonts w:asciiTheme="minorHAnsi" w:hAnsiTheme="minorHAnsi"/>
                <w:b w:val="0"/>
                <w:sz w:val="22"/>
                <w:szCs w:val="22"/>
              </w:rPr>
            </w:pPr>
            <w:r w:rsidRPr="00C25C98">
              <w:rPr>
                <w:rFonts w:asciiTheme="minorHAnsi" w:hAnsiTheme="minorHAnsi"/>
                <w:sz w:val="22"/>
                <w:szCs w:val="22"/>
              </w:rPr>
              <w:t xml:space="preserve">Now is a </w:t>
            </w:r>
            <w:r w:rsidRPr="00C25C98">
              <w:rPr>
                <w:rFonts w:asciiTheme="minorHAnsi" w:hAnsiTheme="minorHAnsi"/>
                <w:sz w:val="22"/>
                <w:szCs w:val="22"/>
                <w:u w:val="single"/>
              </w:rPr>
              <w:t>Good Time To Buy A Car</w:t>
            </w:r>
            <w:r w:rsidRPr="00C25C98">
              <w:rPr>
                <w:rFonts w:asciiTheme="minorHAnsi" w:hAnsiTheme="minorHAnsi"/>
                <w:sz w:val="22"/>
                <w:szCs w:val="22"/>
              </w:rPr>
              <w:t>.</w:t>
            </w:r>
          </w:p>
        </w:tc>
        <w:tc>
          <w:tcPr>
            <w:tcW w:w="1350" w:type="dxa"/>
            <w:vAlign w:val="center"/>
          </w:tcPr>
          <w:p w:rsidR="00481431" w:rsidRPr="00481431" w:rsidRDefault="008226C7" w:rsidP="008D70F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Pr>
                <w:rFonts w:asciiTheme="minorHAnsi" w:hAnsiTheme="minorHAnsi"/>
                <w:b/>
                <w:sz w:val="24"/>
                <w:szCs w:val="24"/>
              </w:rPr>
              <w:t>48</w:t>
            </w:r>
          </w:p>
        </w:tc>
        <w:tc>
          <w:tcPr>
            <w:tcW w:w="1548" w:type="dxa"/>
            <w:vAlign w:val="center"/>
          </w:tcPr>
          <w:p w:rsidR="00481431" w:rsidRPr="00481431" w:rsidRDefault="00DF0F39" w:rsidP="00DF0F3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sz w:val="24"/>
                <w:szCs w:val="24"/>
              </w:rPr>
            </w:pPr>
            <w:r w:rsidRPr="00481431">
              <w:rPr>
                <w:rFonts w:asciiTheme="minorHAnsi" w:hAnsiTheme="minorHAnsi"/>
                <w:b/>
                <w:noProof/>
                <w:sz w:val="24"/>
                <w:szCs w:val="24"/>
              </w:rPr>
              <mc:AlternateContent>
                <mc:Choice Requires="wps">
                  <w:drawing>
                    <wp:anchor distT="0" distB="0" distL="114300" distR="114300" simplePos="0" relativeHeight="251841024" behindDoc="0" locked="0" layoutInCell="1" allowOverlap="1" wp14:anchorId="7B8A3613" wp14:editId="00497709">
                      <wp:simplePos x="0" y="0"/>
                      <wp:positionH relativeFrom="column">
                        <wp:posOffset>325755</wp:posOffset>
                      </wp:positionH>
                      <wp:positionV relativeFrom="paragraph">
                        <wp:posOffset>-88900</wp:posOffset>
                      </wp:positionV>
                      <wp:extent cx="178435" cy="281305"/>
                      <wp:effectExtent l="0" t="0" r="0" b="4445"/>
                      <wp:wrapNone/>
                      <wp:docPr id="24"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81305"/>
                              </a:xfrm>
                              <a:prstGeom prst="upArrow">
                                <a:avLst>
                                  <a:gd name="adj1" fmla="val 50000"/>
                                  <a:gd name="adj2" fmla="val 39413"/>
                                </a:avLst>
                              </a:prstGeom>
                              <a:solidFill>
                                <a:srgbClr val="00B050"/>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o:spid="_x0000_s1026" type="#_x0000_t68" style="position:absolute;margin-left:25.65pt;margin-top:-7pt;width:14.05pt;height:22.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" fillcolor="#00b050" stroked="f"/>
                  </w:pict>
                </mc:Fallback>
              </mc:AlternateContent>
            </w:r>
            <w:r>
              <w:rPr>
                <w:rFonts w:asciiTheme="minorHAnsi" w:hAnsiTheme="minorHAnsi"/>
                <w:b/>
                <w:sz w:val="24"/>
                <w:szCs w:val="24"/>
              </w:rPr>
              <w:t>11</w:t>
            </w:r>
            <w:r w:rsidR="00AF02C6">
              <w:rPr>
                <w:rFonts w:asciiTheme="minorHAnsi" w:hAnsiTheme="minorHAnsi"/>
                <w:b/>
                <w:sz w:val="24"/>
                <w:szCs w:val="24"/>
              </w:rPr>
              <w:t>%</w:t>
            </w:r>
          </w:p>
        </w:tc>
      </w:tr>
    </w:tbl>
    <w:p w:rsidR="00481431" w:rsidRPr="00A16353" w:rsidRDefault="00481431" w:rsidP="00481431">
      <w:pPr>
        <w:rPr>
          <w:rFonts w:asciiTheme="minorHAnsi" w:hAnsiTheme="minorHAnsi"/>
          <w:bCs/>
          <w:sz w:val="24"/>
        </w:rPr>
      </w:pPr>
    </w:p>
    <w:p w:rsidR="00546A3A" w:rsidRDefault="00481431" w:rsidP="00546A3A">
      <w:pPr>
        <w:pStyle w:val="BodyText"/>
        <w:jc w:val="both"/>
        <w:rPr>
          <w:rFonts w:asciiTheme="minorHAnsi" w:hAnsiTheme="minorHAnsi"/>
          <w:b/>
          <w:bCs/>
          <w:u w:val="single"/>
        </w:rPr>
      </w:pPr>
      <w:r>
        <w:rPr>
          <w:rFonts w:asciiTheme="minorHAnsi" w:hAnsiTheme="minorHAnsi"/>
          <w:bCs/>
        </w:rPr>
        <w:br w:type="column"/>
      </w:r>
    </w:p>
    <w:tbl>
      <w:tblPr>
        <w:tblStyle w:val="TableClassic3"/>
        <w:tblW w:w="8928" w:type="dxa"/>
        <w:tblLayout w:type="fixed"/>
        <w:tblLook w:val="04A0" w:firstRow="1" w:lastRow="0" w:firstColumn="1" w:lastColumn="0" w:noHBand="0" w:noVBand="1"/>
      </w:tblPr>
      <w:tblGrid>
        <w:gridCol w:w="1911"/>
        <w:gridCol w:w="1113"/>
        <w:gridCol w:w="656"/>
        <w:gridCol w:w="656"/>
        <w:gridCol w:w="656"/>
        <w:gridCol w:w="656"/>
        <w:gridCol w:w="656"/>
        <w:gridCol w:w="656"/>
        <w:gridCol w:w="656"/>
        <w:gridCol w:w="656"/>
        <w:gridCol w:w="656"/>
      </w:tblGrid>
      <w:tr w:rsidR="00F863C8" w:rsidRPr="00546A3A" w:rsidTr="009804A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11" w:type="dxa"/>
            <w:noWrap/>
            <w:vAlign w:val="center"/>
            <w:hideMark/>
          </w:tcPr>
          <w:p w:rsidR="00F863C8" w:rsidRPr="00F736A9" w:rsidRDefault="00F863C8" w:rsidP="00546A3A">
            <w:pPr>
              <w:jc w:val="center"/>
              <w:rPr>
                <w:rFonts w:ascii="Arial" w:hAnsi="Arial" w:cs="Arial"/>
                <w:sz w:val="18"/>
                <w:szCs w:val="18"/>
              </w:rPr>
            </w:pPr>
            <w:r w:rsidRPr="00F736A9">
              <w:rPr>
                <w:rFonts w:ascii="Arial" w:hAnsi="Arial" w:cs="Arial"/>
                <w:sz w:val="18"/>
                <w:szCs w:val="18"/>
              </w:rPr>
              <w:t>Consumer Outlook</w:t>
            </w:r>
          </w:p>
        </w:tc>
        <w:tc>
          <w:tcPr>
            <w:tcW w:w="1113" w:type="dxa"/>
            <w:noWrap/>
            <w:vAlign w:val="center"/>
            <w:hideMark/>
          </w:tcPr>
          <w:p w:rsidR="00F863C8" w:rsidRPr="00546A3A" w:rsidRDefault="00F863C8" w:rsidP="008F4CA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vAlign w:val="center"/>
          </w:tcPr>
          <w:p w:rsidR="00F863C8" w:rsidRPr="00546A3A" w:rsidRDefault="00F863C8" w:rsidP="00AB5D7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Sept</w:t>
            </w:r>
          </w:p>
        </w:tc>
        <w:tc>
          <w:tcPr>
            <w:tcW w:w="656" w:type="dxa"/>
            <w:vAlign w:val="center"/>
          </w:tcPr>
          <w:p w:rsidR="00F863C8" w:rsidRPr="004C6631" w:rsidRDefault="00F863C8" w:rsidP="00AB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C6631">
              <w:rPr>
                <w:rFonts w:ascii="Arial" w:hAnsi="Arial" w:cs="Arial"/>
                <w:b w:val="0"/>
                <w:bCs w:val="0"/>
              </w:rPr>
              <w:t>Nov</w:t>
            </w:r>
          </w:p>
        </w:tc>
        <w:tc>
          <w:tcPr>
            <w:tcW w:w="656" w:type="dxa"/>
            <w:vAlign w:val="center"/>
          </w:tcPr>
          <w:p w:rsidR="00F863C8" w:rsidRPr="0082033A" w:rsidRDefault="00F863C8" w:rsidP="00AB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2033A">
              <w:rPr>
                <w:rFonts w:ascii="Arial" w:hAnsi="Arial" w:cs="Arial"/>
                <w:b w:val="0"/>
                <w:bCs w:val="0"/>
              </w:rPr>
              <w:t>Jan</w:t>
            </w:r>
          </w:p>
        </w:tc>
        <w:tc>
          <w:tcPr>
            <w:tcW w:w="656" w:type="dxa"/>
            <w:vAlign w:val="center"/>
          </w:tcPr>
          <w:p w:rsidR="00F863C8" w:rsidRPr="00500677" w:rsidRDefault="00F863C8" w:rsidP="00AB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00677">
              <w:rPr>
                <w:rFonts w:ascii="Arial" w:hAnsi="Arial" w:cs="Arial"/>
                <w:b w:val="0"/>
              </w:rPr>
              <w:t>Apr</w:t>
            </w:r>
          </w:p>
        </w:tc>
        <w:tc>
          <w:tcPr>
            <w:tcW w:w="656" w:type="dxa"/>
            <w:vAlign w:val="center"/>
          </w:tcPr>
          <w:p w:rsidR="00F863C8" w:rsidRPr="00692E24" w:rsidRDefault="00F863C8" w:rsidP="00AB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92E24">
              <w:rPr>
                <w:rFonts w:ascii="Arial" w:hAnsi="Arial" w:cs="Arial"/>
                <w:b w:val="0"/>
              </w:rPr>
              <w:t>Sept</w:t>
            </w:r>
          </w:p>
        </w:tc>
        <w:tc>
          <w:tcPr>
            <w:tcW w:w="656" w:type="dxa"/>
            <w:vAlign w:val="center"/>
          </w:tcPr>
          <w:p w:rsidR="00F863C8" w:rsidRPr="00BE255B" w:rsidRDefault="00F863C8" w:rsidP="00AB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E255B">
              <w:rPr>
                <w:rFonts w:ascii="Arial" w:hAnsi="Arial" w:cs="Arial"/>
                <w:b w:val="0"/>
              </w:rPr>
              <w:t>Dec</w:t>
            </w:r>
          </w:p>
        </w:tc>
        <w:tc>
          <w:tcPr>
            <w:tcW w:w="656" w:type="dxa"/>
            <w:vAlign w:val="center"/>
          </w:tcPr>
          <w:p w:rsidR="00F863C8" w:rsidRPr="008F171F" w:rsidRDefault="00F863C8" w:rsidP="00AB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F171F">
              <w:rPr>
                <w:rFonts w:ascii="Arial" w:hAnsi="Arial" w:cs="Arial"/>
                <w:b w:val="0"/>
              </w:rPr>
              <w:t>Feb</w:t>
            </w:r>
          </w:p>
        </w:tc>
        <w:tc>
          <w:tcPr>
            <w:tcW w:w="656" w:type="dxa"/>
          </w:tcPr>
          <w:p w:rsidR="00F863C8" w:rsidRPr="00F863C8" w:rsidRDefault="00F863C8" w:rsidP="00AB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863C8">
              <w:rPr>
                <w:rFonts w:ascii="Arial" w:hAnsi="Arial" w:cs="Arial"/>
                <w:b w:val="0"/>
              </w:rPr>
              <w:t>May</w:t>
            </w:r>
          </w:p>
        </w:tc>
        <w:tc>
          <w:tcPr>
            <w:tcW w:w="656" w:type="dxa"/>
            <w:vAlign w:val="center"/>
          </w:tcPr>
          <w:p w:rsidR="00F863C8" w:rsidRPr="009804AC" w:rsidRDefault="00F863C8" w:rsidP="009804A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9804AC">
              <w:rPr>
                <w:rFonts w:ascii="Arial" w:hAnsi="Arial" w:cs="Arial"/>
                <w:sz w:val="16"/>
                <w:szCs w:val="16"/>
              </w:rPr>
              <w:t>Sept</w:t>
            </w:r>
          </w:p>
        </w:tc>
      </w:tr>
      <w:tr w:rsidR="00F863C8"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vAlign w:val="bottom"/>
            <w:hideMark/>
          </w:tcPr>
          <w:p w:rsidR="00F863C8" w:rsidRPr="00F736A9" w:rsidRDefault="00F863C8" w:rsidP="00BE255B">
            <w:pPr>
              <w:rPr>
                <w:rFonts w:ascii="Arial" w:hAnsi="Arial" w:cs="Arial"/>
                <w:sz w:val="18"/>
                <w:szCs w:val="18"/>
              </w:rPr>
            </w:pPr>
          </w:p>
        </w:tc>
        <w:tc>
          <w:tcPr>
            <w:tcW w:w="1113" w:type="dxa"/>
            <w:shd w:val="clear" w:color="auto" w:fill="EEECE1" w:themeFill="background2"/>
            <w:noWrap/>
            <w:vAlign w:val="center"/>
            <w:hideMark/>
          </w:tcPr>
          <w:p w:rsidR="00F863C8" w:rsidRPr="00546A3A" w:rsidRDefault="00F863C8"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tcBorders>
              <w:bottom w:val="nil"/>
            </w:tcBorders>
            <w:shd w:val="clear" w:color="auto" w:fill="EEECE1" w:themeFill="background2"/>
            <w:vAlign w:val="center"/>
          </w:tcPr>
          <w:p w:rsidR="00F863C8" w:rsidRPr="00DA5B64"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Pr="00DA5B64">
              <w:rPr>
                <w:rFonts w:ascii="Arial" w:hAnsi="Arial" w:cs="Arial"/>
              </w:rPr>
              <w:t>12</w:t>
            </w:r>
          </w:p>
        </w:tc>
        <w:tc>
          <w:tcPr>
            <w:tcW w:w="656" w:type="dxa"/>
            <w:tcBorders>
              <w:bottom w:val="nil"/>
            </w:tcBorders>
            <w:shd w:val="clear" w:color="auto" w:fill="EEECE1" w:themeFill="background2"/>
            <w:vAlign w:val="center"/>
          </w:tcPr>
          <w:p w:rsidR="00F863C8" w:rsidRPr="004C6631"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‘12</w:t>
            </w:r>
          </w:p>
        </w:tc>
        <w:tc>
          <w:tcPr>
            <w:tcW w:w="656" w:type="dxa"/>
            <w:tcBorders>
              <w:bottom w:val="nil"/>
            </w:tcBorders>
            <w:shd w:val="clear" w:color="auto" w:fill="EEECE1" w:themeFill="background2"/>
            <w:vAlign w:val="center"/>
          </w:tcPr>
          <w:p w:rsidR="00F863C8" w:rsidRPr="0082033A"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‘13</w:t>
            </w:r>
          </w:p>
        </w:tc>
        <w:tc>
          <w:tcPr>
            <w:tcW w:w="656" w:type="dxa"/>
            <w:tcBorders>
              <w:bottom w:val="nil"/>
            </w:tcBorders>
            <w:shd w:val="clear" w:color="auto" w:fill="EEECE1" w:themeFill="background2"/>
            <w:vAlign w:val="center"/>
          </w:tcPr>
          <w:p w:rsidR="00F863C8" w:rsidRPr="00500677"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‘13</w:t>
            </w:r>
          </w:p>
        </w:tc>
        <w:tc>
          <w:tcPr>
            <w:tcW w:w="656" w:type="dxa"/>
            <w:tcBorders>
              <w:bottom w:val="nil"/>
            </w:tcBorders>
            <w:shd w:val="clear" w:color="auto" w:fill="EEECE1" w:themeFill="background2"/>
            <w:vAlign w:val="center"/>
          </w:tcPr>
          <w:p w:rsidR="00F863C8" w:rsidRPr="00692E24"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‘13</w:t>
            </w:r>
          </w:p>
        </w:tc>
        <w:tc>
          <w:tcPr>
            <w:tcW w:w="656" w:type="dxa"/>
            <w:tcBorders>
              <w:bottom w:val="nil"/>
            </w:tcBorders>
            <w:shd w:val="clear" w:color="auto" w:fill="EEECE1" w:themeFill="background2"/>
            <w:vAlign w:val="center"/>
          </w:tcPr>
          <w:p w:rsidR="00F863C8" w:rsidRPr="00BE255B"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‘13</w:t>
            </w:r>
          </w:p>
        </w:tc>
        <w:tc>
          <w:tcPr>
            <w:tcW w:w="656" w:type="dxa"/>
            <w:tcBorders>
              <w:bottom w:val="nil"/>
            </w:tcBorders>
            <w:shd w:val="clear" w:color="auto" w:fill="EEECE1" w:themeFill="background2"/>
            <w:vAlign w:val="center"/>
          </w:tcPr>
          <w:p w:rsidR="00F863C8" w:rsidRPr="008F171F"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171F">
              <w:rPr>
                <w:rFonts w:ascii="Arial" w:hAnsi="Arial" w:cs="Arial"/>
                <w:bCs/>
              </w:rPr>
              <w:t>‘14</w:t>
            </w:r>
          </w:p>
        </w:tc>
        <w:tc>
          <w:tcPr>
            <w:tcW w:w="656" w:type="dxa"/>
            <w:tcBorders>
              <w:bottom w:val="nil"/>
            </w:tcBorders>
            <w:shd w:val="clear" w:color="auto" w:fill="EEECE1" w:themeFill="background2"/>
          </w:tcPr>
          <w:p w:rsidR="00F863C8" w:rsidRPr="00F863C8"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863C8">
              <w:rPr>
                <w:rFonts w:ascii="Arial" w:hAnsi="Arial" w:cs="Arial"/>
                <w:bCs/>
              </w:rPr>
              <w:t>‘14</w:t>
            </w:r>
          </w:p>
        </w:tc>
        <w:tc>
          <w:tcPr>
            <w:tcW w:w="656" w:type="dxa"/>
            <w:tcBorders>
              <w:bottom w:val="nil"/>
            </w:tcBorders>
            <w:shd w:val="clear" w:color="auto" w:fill="EEECE1" w:themeFill="background2"/>
            <w:vAlign w:val="center"/>
          </w:tcPr>
          <w:p w:rsidR="00F863C8" w:rsidRPr="009804AC" w:rsidRDefault="00F863C8"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‘14</w:t>
            </w:r>
          </w:p>
        </w:tc>
      </w:tr>
      <w:tr w:rsidR="00F863C8"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F863C8" w:rsidRPr="00546A3A" w:rsidRDefault="00F863C8" w:rsidP="007C47FE">
            <w:pPr>
              <w:rPr>
                <w:rFonts w:ascii="Arial" w:hAnsi="Arial" w:cs="Arial"/>
                <w:sz w:val="16"/>
                <w:szCs w:val="16"/>
              </w:rPr>
            </w:pPr>
            <w:r w:rsidRPr="00546A3A">
              <w:rPr>
                <w:rFonts w:ascii="Arial" w:hAnsi="Arial" w:cs="Arial"/>
                <w:sz w:val="16"/>
                <w:szCs w:val="16"/>
              </w:rPr>
              <w:t> </w:t>
            </w:r>
          </w:p>
        </w:tc>
        <w:tc>
          <w:tcPr>
            <w:tcW w:w="1113" w:type="dxa"/>
            <w:shd w:val="clear" w:color="auto" w:fill="EEECE1" w:themeFill="background2"/>
            <w:noWrap/>
            <w:vAlign w:val="center"/>
            <w:hideMark/>
          </w:tcPr>
          <w:p w:rsidR="00F863C8" w:rsidRPr="00546A3A" w:rsidRDefault="00F863C8"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tcBorders>
              <w:top w:val="nil"/>
              <w:bottom w:val="single" w:sz="4" w:space="0" w:color="auto"/>
            </w:tcBorders>
            <w:shd w:val="clear" w:color="auto" w:fill="EEECE1" w:themeFill="background2"/>
            <w:vAlign w:val="center"/>
          </w:tcPr>
          <w:p w:rsidR="00F863C8" w:rsidRPr="00DA5B64"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w:t>
            </w:r>
          </w:p>
        </w:tc>
        <w:tc>
          <w:tcPr>
            <w:tcW w:w="656" w:type="dxa"/>
            <w:tcBorders>
              <w:top w:val="nil"/>
              <w:bottom w:val="single" w:sz="4" w:space="0" w:color="auto"/>
            </w:tcBorders>
            <w:shd w:val="clear" w:color="auto" w:fill="EEECE1" w:themeFill="background2"/>
            <w:vAlign w:val="center"/>
          </w:tcPr>
          <w:p w:rsidR="00F863C8" w:rsidRPr="004C6631"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w:t>
            </w:r>
          </w:p>
        </w:tc>
        <w:tc>
          <w:tcPr>
            <w:tcW w:w="656" w:type="dxa"/>
            <w:tcBorders>
              <w:top w:val="nil"/>
              <w:bottom w:val="single" w:sz="4" w:space="0" w:color="auto"/>
            </w:tcBorders>
            <w:shd w:val="clear" w:color="auto" w:fill="EEECE1" w:themeFill="background2"/>
            <w:vAlign w:val="center"/>
          </w:tcPr>
          <w:p w:rsidR="00F863C8" w:rsidRPr="0082033A"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w:t>
            </w:r>
          </w:p>
        </w:tc>
        <w:tc>
          <w:tcPr>
            <w:tcW w:w="656" w:type="dxa"/>
            <w:tcBorders>
              <w:top w:val="nil"/>
              <w:bottom w:val="single" w:sz="4" w:space="0" w:color="auto"/>
            </w:tcBorders>
            <w:shd w:val="clear" w:color="auto" w:fill="EEECE1" w:themeFill="background2"/>
            <w:vAlign w:val="center"/>
          </w:tcPr>
          <w:p w:rsidR="00F863C8" w:rsidRPr="00500677"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w:t>
            </w:r>
          </w:p>
        </w:tc>
        <w:tc>
          <w:tcPr>
            <w:tcW w:w="656" w:type="dxa"/>
            <w:tcBorders>
              <w:top w:val="nil"/>
              <w:bottom w:val="single" w:sz="4" w:space="0" w:color="auto"/>
            </w:tcBorders>
            <w:shd w:val="clear" w:color="auto" w:fill="EEECE1" w:themeFill="background2"/>
            <w:vAlign w:val="center"/>
          </w:tcPr>
          <w:p w:rsidR="00F863C8" w:rsidRPr="00692E24"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w:t>
            </w:r>
          </w:p>
        </w:tc>
        <w:tc>
          <w:tcPr>
            <w:tcW w:w="656" w:type="dxa"/>
            <w:tcBorders>
              <w:top w:val="nil"/>
              <w:bottom w:val="single" w:sz="4" w:space="0" w:color="auto"/>
            </w:tcBorders>
            <w:shd w:val="clear" w:color="auto" w:fill="EEECE1" w:themeFill="background2"/>
            <w:vAlign w:val="center"/>
          </w:tcPr>
          <w:p w:rsidR="00F863C8" w:rsidRPr="00BE255B"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w:t>
            </w:r>
          </w:p>
        </w:tc>
        <w:tc>
          <w:tcPr>
            <w:tcW w:w="656" w:type="dxa"/>
            <w:tcBorders>
              <w:top w:val="nil"/>
              <w:bottom w:val="single" w:sz="4" w:space="0" w:color="auto"/>
            </w:tcBorders>
            <w:shd w:val="clear" w:color="auto" w:fill="EEECE1" w:themeFill="background2"/>
            <w:vAlign w:val="center"/>
          </w:tcPr>
          <w:p w:rsidR="00F863C8" w:rsidRPr="008F171F"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F171F">
              <w:rPr>
                <w:rFonts w:ascii="Arial" w:hAnsi="Arial" w:cs="Arial"/>
                <w:bCs/>
              </w:rPr>
              <w:t>(%)</w:t>
            </w:r>
          </w:p>
        </w:tc>
        <w:tc>
          <w:tcPr>
            <w:tcW w:w="656" w:type="dxa"/>
            <w:tcBorders>
              <w:top w:val="nil"/>
              <w:bottom w:val="single" w:sz="4" w:space="0" w:color="auto"/>
            </w:tcBorders>
            <w:shd w:val="clear" w:color="auto" w:fill="EEECE1" w:themeFill="background2"/>
          </w:tcPr>
          <w:p w:rsidR="00F863C8" w:rsidRPr="00F863C8" w:rsidRDefault="00F863C8"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863C8">
              <w:rPr>
                <w:rFonts w:ascii="Arial" w:hAnsi="Arial" w:cs="Arial"/>
                <w:bCs/>
              </w:rPr>
              <w:t>(%)</w:t>
            </w:r>
          </w:p>
        </w:tc>
        <w:tc>
          <w:tcPr>
            <w:tcW w:w="656" w:type="dxa"/>
            <w:tcBorders>
              <w:top w:val="nil"/>
              <w:bottom w:val="single" w:sz="4" w:space="0" w:color="auto"/>
            </w:tcBorders>
            <w:shd w:val="clear" w:color="auto" w:fill="EEECE1" w:themeFill="background2"/>
            <w:vAlign w:val="center"/>
          </w:tcPr>
          <w:p w:rsidR="00F863C8" w:rsidRPr="009804AC" w:rsidRDefault="00F863C8"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Are business conditions</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Good</w:t>
            </w:r>
          </w:p>
        </w:tc>
        <w:tc>
          <w:tcPr>
            <w:tcW w:w="656" w:type="dxa"/>
            <w:tcBorders>
              <w:top w:val="single" w:sz="4" w:space="0" w:color="auto"/>
            </w:tcBorders>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11</w:t>
            </w:r>
          </w:p>
        </w:tc>
        <w:tc>
          <w:tcPr>
            <w:tcW w:w="656" w:type="dxa"/>
            <w:tcBorders>
              <w:top w:val="single" w:sz="4" w:space="0" w:color="auto"/>
            </w:tcBorders>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14</w:t>
            </w:r>
          </w:p>
        </w:tc>
        <w:tc>
          <w:tcPr>
            <w:tcW w:w="656" w:type="dxa"/>
            <w:tcBorders>
              <w:top w:val="single" w:sz="4" w:space="0" w:color="auto"/>
            </w:tcBorders>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14</w:t>
            </w:r>
          </w:p>
        </w:tc>
        <w:tc>
          <w:tcPr>
            <w:tcW w:w="656" w:type="dxa"/>
            <w:tcBorders>
              <w:top w:val="single" w:sz="4" w:space="0" w:color="auto"/>
            </w:tcBorders>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13</w:t>
            </w:r>
          </w:p>
        </w:tc>
        <w:tc>
          <w:tcPr>
            <w:tcW w:w="656" w:type="dxa"/>
            <w:tcBorders>
              <w:top w:val="single" w:sz="4" w:space="0" w:color="auto"/>
            </w:tcBorders>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14</w:t>
            </w:r>
          </w:p>
        </w:tc>
        <w:tc>
          <w:tcPr>
            <w:tcW w:w="656" w:type="dxa"/>
            <w:tcBorders>
              <w:top w:val="single" w:sz="4" w:space="0" w:color="auto"/>
            </w:tcBorders>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12</w:t>
            </w:r>
          </w:p>
        </w:tc>
        <w:tc>
          <w:tcPr>
            <w:tcW w:w="656" w:type="dxa"/>
            <w:tcBorders>
              <w:top w:val="single" w:sz="4" w:space="0" w:color="auto"/>
            </w:tcBorders>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15</w:t>
            </w:r>
          </w:p>
        </w:tc>
        <w:tc>
          <w:tcPr>
            <w:tcW w:w="656" w:type="dxa"/>
            <w:tcBorders>
              <w:top w:val="single" w:sz="4" w:space="0" w:color="auto"/>
            </w:tcBorders>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17</w:t>
            </w:r>
          </w:p>
        </w:tc>
        <w:tc>
          <w:tcPr>
            <w:tcW w:w="656" w:type="dxa"/>
            <w:tcBorders>
              <w:top w:val="single" w:sz="4" w:space="0" w:color="auto"/>
            </w:tcBorders>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21</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in the U.S.</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In Between</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59</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60</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62</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62</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66</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61</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62</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66</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62</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Bad</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29</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25</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23</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24</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20</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26</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22</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17</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15</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 xml:space="preserve">Six months from now,  </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Better</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35</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35</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34</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33</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30</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25</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29</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31</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22</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will business conditions</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About same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38</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34</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41</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46</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48</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47</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47</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49</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57</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in the U.S. be:</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Worse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13</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28</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22</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19</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20</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25</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22</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18</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17</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Are business conditions</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Good</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40</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35</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42</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44</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49</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42</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50</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48</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51</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in Middle TN:</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In Between</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46</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53</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48</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45</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46</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47</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38</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43</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40</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Bad</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11</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10</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8</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9</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5</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9</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11</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7</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6</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 xml:space="preserve">Six months from now,  </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Better</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37</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36</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36</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39</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37</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27</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35</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33</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33</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will business conditions</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About same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46</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45</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52</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49</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51</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59</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55</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57</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53</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in Middle TN be:</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Worse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7</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18</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10</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10</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10</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11</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7</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8</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10</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Are jobs in Middle TN:</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Easy to find</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4</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7</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5</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8</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8</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12</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13</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16</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14</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Default="009804AC" w:rsidP="000A4BF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A4BFC">
              <w:rPr>
                <w:rFonts w:ascii="Arial" w:hAnsi="Arial" w:cs="Arial"/>
                <w:sz w:val="16"/>
                <w:szCs w:val="16"/>
              </w:rPr>
              <w:t>Found</w:t>
            </w:r>
          </w:p>
          <w:p w:rsidR="009804AC" w:rsidRPr="000A4BFC" w:rsidRDefault="009804AC" w:rsidP="000A4BF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A4BFC">
              <w:rPr>
                <w:rFonts w:ascii="Arial" w:hAnsi="Arial" w:cs="Arial"/>
                <w:sz w:val="16"/>
                <w:szCs w:val="16"/>
              </w:rPr>
              <w:t>w/effort</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52</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53</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53</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54</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57</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57</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53</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57</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53</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Hard to find</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35</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35</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37</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31</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29</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26</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28</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24</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25</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 xml:space="preserve">In Middle TN six months </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More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36</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33</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34</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39</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40</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28</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35</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33</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38</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from now there will be</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About same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44</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46</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49</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47</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45</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50</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47</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54</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48</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 of jobs):</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Fewer</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9</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16</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13</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11</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12</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16</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15</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10</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9</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 xml:space="preserve">Compared to a year ago,  </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Better</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19</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18</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17</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24</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24</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25</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27</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29</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25</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is your personal financial</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About same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56</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56</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57</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52</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53</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48</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53</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47</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58</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situation:</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Worse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25</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26</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26</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24</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23</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27</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21</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24</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17</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 xml:space="preserve">In 12 months will your  </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Better</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41</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31</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33</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37</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35</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34</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39</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33</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32</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 xml:space="preserve">personal financial </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About same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51</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51</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53</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52</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51</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53</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52</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59</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59</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situation be:</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Worse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8</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18</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14</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11</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14</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13</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9</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8</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9</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 xml:space="preserve">Is now a good time to  </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Good time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33</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31</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28</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30</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29</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35</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33</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32</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32</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buy large items for</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In between</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34</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40</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47</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48</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47</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34</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42</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44</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49</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roofErr w:type="gramStart"/>
            <w:r w:rsidRPr="00546A3A">
              <w:rPr>
                <w:rFonts w:ascii="Arial" w:hAnsi="Arial" w:cs="Arial"/>
                <w:sz w:val="16"/>
                <w:szCs w:val="16"/>
              </w:rPr>
              <w:t>the</w:t>
            </w:r>
            <w:proofErr w:type="gramEnd"/>
            <w:r w:rsidRPr="00546A3A">
              <w:rPr>
                <w:rFonts w:ascii="Arial" w:hAnsi="Arial" w:cs="Arial"/>
                <w:sz w:val="16"/>
                <w:szCs w:val="16"/>
              </w:rPr>
              <w:t xml:space="preserve"> home?</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Bad time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25</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23</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20</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18</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18</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22</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20</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17</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13</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Is now a good time to</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Good time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69</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62</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67</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65</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65</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52</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53</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56</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55</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roofErr w:type="gramStart"/>
            <w:r w:rsidRPr="00546A3A">
              <w:rPr>
                <w:rFonts w:ascii="Arial" w:hAnsi="Arial" w:cs="Arial"/>
                <w:sz w:val="16"/>
                <w:szCs w:val="16"/>
              </w:rPr>
              <w:t>buy</w:t>
            </w:r>
            <w:proofErr w:type="gramEnd"/>
            <w:r w:rsidRPr="00546A3A">
              <w:rPr>
                <w:rFonts w:ascii="Arial" w:hAnsi="Arial" w:cs="Arial"/>
                <w:sz w:val="16"/>
                <w:szCs w:val="16"/>
              </w:rPr>
              <w:t xml:space="preserve"> a house?</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In between</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16</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18</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15</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22</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19</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29</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24</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28</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26</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Bad time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12</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16</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13</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9</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12</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13</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18</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11</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12</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r w:rsidRPr="00546A3A">
              <w:rPr>
                <w:rFonts w:ascii="Arial" w:hAnsi="Arial" w:cs="Arial"/>
                <w:sz w:val="16"/>
                <w:szCs w:val="16"/>
              </w:rPr>
              <w:t xml:space="preserve">Is now a good time to </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Good time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48</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37</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37</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42</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45</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38</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41</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37</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48</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roofErr w:type="gramStart"/>
            <w:r w:rsidRPr="00546A3A">
              <w:rPr>
                <w:rFonts w:ascii="Arial" w:hAnsi="Arial" w:cs="Arial"/>
                <w:sz w:val="16"/>
                <w:szCs w:val="16"/>
              </w:rPr>
              <w:t>buy</w:t>
            </w:r>
            <w:proofErr w:type="gramEnd"/>
            <w:r w:rsidRPr="00546A3A">
              <w:rPr>
                <w:rFonts w:ascii="Arial" w:hAnsi="Arial" w:cs="Arial"/>
                <w:sz w:val="16"/>
                <w:szCs w:val="16"/>
              </w:rPr>
              <w:t xml:space="preserve"> a car?</w:t>
            </w: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In between</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27</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39</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40</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37</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38</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38</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36</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42</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35</w:t>
            </w:r>
          </w:p>
        </w:tc>
      </w:tr>
      <w:tr w:rsidR="009804AC" w:rsidRPr="00546A3A" w:rsidTr="009804AC">
        <w:trPr>
          <w:trHeight w:val="255"/>
        </w:trPr>
        <w:tc>
          <w:tcPr>
            <w:cnfStyle w:val="001000000000" w:firstRow="0" w:lastRow="0" w:firstColumn="1" w:lastColumn="0" w:oddVBand="0" w:evenVBand="0" w:oddHBand="0" w:evenHBand="0" w:firstRowFirstColumn="0" w:firstRowLastColumn="0" w:lastRowFirstColumn="0" w:lastRowLastColumn="0"/>
            <w:tcW w:w="1911" w:type="dxa"/>
            <w:shd w:val="clear" w:color="auto" w:fill="EEECE1" w:themeFill="background2"/>
            <w:noWrap/>
            <w:hideMark/>
          </w:tcPr>
          <w:p w:rsidR="009804AC" w:rsidRPr="00546A3A" w:rsidRDefault="009804AC" w:rsidP="007C47FE">
            <w:pPr>
              <w:rPr>
                <w:rFonts w:ascii="Arial" w:hAnsi="Arial" w:cs="Arial"/>
                <w:sz w:val="16"/>
                <w:szCs w:val="16"/>
              </w:rPr>
            </w:pPr>
          </w:p>
        </w:tc>
        <w:tc>
          <w:tcPr>
            <w:tcW w:w="1113" w:type="dxa"/>
            <w:shd w:val="clear" w:color="auto" w:fill="EEECE1" w:themeFill="background2"/>
            <w:noWrap/>
            <w:vAlign w:val="center"/>
            <w:hideMark/>
          </w:tcPr>
          <w:p w:rsidR="009804AC" w:rsidRPr="00546A3A" w:rsidRDefault="009804AC" w:rsidP="008F4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46A3A">
              <w:rPr>
                <w:rFonts w:ascii="Arial" w:hAnsi="Arial" w:cs="Arial"/>
                <w:sz w:val="16"/>
                <w:szCs w:val="16"/>
              </w:rPr>
              <w:t>Bad time</w:t>
            </w:r>
          </w:p>
        </w:tc>
        <w:tc>
          <w:tcPr>
            <w:tcW w:w="656" w:type="dxa"/>
            <w:shd w:val="clear" w:color="auto" w:fill="EEECE1" w:themeFill="background2"/>
            <w:vAlign w:val="center"/>
          </w:tcPr>
          <w:p w:rsidR="009804AC" w:rsidRPr="00DA5B6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A5B64">
              <w:rPr>
                <w:rFonts w:ascii="Arial" w:hAnsi="Arial" w:cs="Arial"/>
              </w:rPr>
              <w:t>21</w:t>
            </w:r>
          </w:p>
        </w:tc>
        <w:tc>
          <w:tcPr>
            <w:tcW w:w="656" w:type="dxa"/>
            <w:shd w:val="clear" w:color="auto" w:fill="EEECE1" w:themeFill="background2"/>
            <w:vAlign w:val="center"/>
          </w:tcPr>
          <w:p w:rsidR="009804AC" w:rsidRPr="004C6631"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4C6631">
              <w:rPr>
                <w:rFonts w:ascii="Arial" w:hAnsi="Arial" w:cs="Arial"/>
                <w:bCs/>
              </w:rPr>
              <w:t>18</w:t>
            </w:r>
          </w:p>
        </w:tc>
        <w:tc>
          <w:tcPr>
            <w:tcW w:w="656" w:type="dxa"/>
            <w:shd w:val="clear" w:color="auto" w:fill="EEECE1" w:themeFill="background2"/>
            <w:vAlign w:val="center"/>
          </w:tcPr>
          <w:p w:rsidR="009804AC" w:rsidRPr="0082033A"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2033A">
              <w:rPr>
                <w:rFonts w:ascii="Arial" w:hAnsi="Arial" w:cs="Arial"/>
                <w:bCs/>
              </w:rPr>
              <w:t>17</w:t>
            </w:r>
          </w:p>
        </w:tc>
        <w:tc>
          <w:tcPr>
            <w:tcW w:w="656" w:type="dxa"/>
            <w:shd w:val="clear" w:color="auto" w:fill="EEECE1" w:themeFill="background2"/>
            <w:vAlign w:val="center"/>
          </w:tcPr>
          <w:p w:rsidR="009804AC" w:rsidRPr="00500677"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0677">
              <w:rPr>
                <w:rFonts w:ascii="Arial" w:hAnsi="Arial" w:cs="Arial"/>
                <w:bCs/>
              </w:rPr>
              <w:t>15</w:t>
            </w:r>
          </w:p>
        </w:tc>
        <w:tc>
          <w:tcPr>
            <w:tcW w:w="656" w:type="dxa"/>
            <w:shd w:val="clear" w:color="auto" w:fill="EEECE1" w:themeFill="background2"/>
            <w:vAlign w:val="center"/>
          </w:tcPr>
          <w:p w:rsidR="009804AC" w:rsidRPr="00692E24"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92E24">
              <w:rPr>
                <w:rFonts w:ascii="Arial" w:hAnsi="Arial" w:cs="Arial"/>
                <w:bCs/>
              </w:rPr>
              <w:t>14</w:t>
            </w:r>
          </w:p>
        </w:tc>
        <w:tc>
          <w:tcPr>
            <w:tcW w:w="656" w:type="dxa"/>
            <w:shd w:val="clear" w:color="auto" w:fill="EEECE1" w:themeFill="background2"/>
            <w:vAlign w:val="center"/>
          </w:tcPr>
          <w:p w:rsidR="009804AC" w:rsidRPr="00BE255B"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E255B">
              <w:rPr>
                <w:rFonts w:ascii="Arial" w:hAnsi="Arial" w:cs="Arial"/>
                <w:bCs/>
              </w:rPr>
              <w:t>20</w:t>
            </w:r>
          </w:p>
        </w:tc>
        <w:tc>
          <w:tcPr>
            <w:tcW w:w="656" w:type="dxa"/>
            <w:shd w:val="clear" w:color="auto" w:fill="EEECE1" w:themeFill="background2"/>
            <w:vAlign w:val="center"/>
          </w:tcPr>
          <w:p w:rsidR="009804AC" w:rsidRPr="008F171F"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171F">
              <w:rPr>
                <w:rFonts w:ascii="Arial" w:hAnsi="Arial" w:cs="Arial"/>
              </w:rPr>
              <w:t>18</w:t>
            </w:r>
          </w:p>
        </w:tc>
        <w:tc>
          <w:tcPr>
            <w:tcW w:w="656" w:type="dxa"/>
            <w:shd w:val="clear" w:color="auto" w:fill="EEECE1" w:themeFill="background2"/>
            <w:vAlign w:val="center"/>
          </w:tcPr>
          <w:p w:rsidR="009804AC" w:rsidRPr="00F863C8" w:rsidRDefault="009804AC" w:rsidP="00AB5D7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863C8">
              <w:rPr>
                <w:rFonts w:ascii="Arial" w:hAnsi="Arial" w:cs="Arial"/>
              </w:rPr>
              <w:t>18</w:t>
            </w:r>
          </w:p>
        </w:tc>
        <w:tc>
          <w:tcPr>
            <w:tcW w:w="656" w:type="dxa"/>
            <w:shd w:val="clear" w:color="auto" w:fill="EEECE1" w:themeFill="background2"/>
            <w:vAlign w:val="center"/>
          </w:tcPr>
          <w:p w:rsidR="009804AC" w:rsidRPr="009804AC" w:rsidRDefault="009804AC" w:rsidP="009804AC">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804AC">
              <w:rPr>
                <w:rFonts w:ascii="Arial" w:hAnsi="Arial" w:cs="Arial"/>
                <w:b/>
              </w:rPr>
              <w:t>12</w:t>
            </w:r>
          </w:p>
        </w:tc>
      </w:tr>
    </w:tbl>
    <w:p w:rsidR="00E10F3A" w:rsidRDefault="00546A3A" w:rsidP="00D51D6B">
      <w:pPr>
        <w:pStyle w:val="BodyText"/>
        <w:jc w:val="both"/>
        <w:rPr>
          <w:rFonts w:asciiTheme="minorHAnsi" w:hAnsiTheme="minorHAnsi"/>
          <w:b/>
          <w:bCs/>
          <w:u w:val="single"/>
        </w:rPr>
      </w:pPr>
      <w:r>
        <w:rPr>
          <w:rFonts w:asciiTheme="minorHAnsi" w:hAnsiTheme="minorHAnsi"/>
          <w:b/>
          <w:bCs/>
          <w:u w:val="single"/>
        </w:rPr>
        <w:br w:type="column"/>
      </w:r>
    </w:p>
    <w:p w:rsidR="002F1853" w:rsidRDefault="002F1853" w:rsidP="00D51D6B">
      <w:pPr>
        <w:pStyle w:val="BodyText"/>
        <w:jc w:val="both"/>
        <w:rPr>
          <w:rFonts w:asciiTheme="minorHAnsi" w:hAnsiTheme="minorHAnsi"/>
          <w:b/>
          <w:bCs/>
          <w:u w:val="single"/>
        </w:rPr>
      </w:pPr>
    </w:p>
    <w:p w:rsidR="00315469" w:rsidRDefault="00315469" w:rsidP="00D75F8B">
      <w:pPr>
        <w:rPr>
          <w:bCs/>
          <w:sz w:val="24"/>
        </w:rPr>
      </w:pPr>
    </w:p>
    <w:p w:rsidR="00105183" w:rsidRPr="00F750BC" w:rsidRDefault="003C133F" w:rsidP="00105183">
      <w:pPr>
        <w:rPr>
          <w:rFonts w:asciiTheme="minorHAnsi" w:hAnsiTheme="minorHAnsi"/>
          <w:b/>
          <w:bCs/>
          <w:sz w:val="28"/>
          <w:szCs w:val="28"/>
          <w:u w:val="single"/>
        </w:rPr>
      </w:pPr>
      <w:r w:rsidRPr="00F750BC">
        <w:rPr>
          <w:rFonts w:asciiTheme="minorHAnsi" w:hAnsiTheme="minorHAnsi"/>
          <w:bCs/>
          <w:sz w:val="28"/>
          <w:szCs w:val="28"/>
        </w:rPr>
        <w:t xml:space="preserve"> </w:t>
      </w:r>
      <w:r w:rsidR="00105183" w:rsidRPr="00F750BC">
        <w:rPr>
          <w:rFonts w:asciiTheme="minorHAnsi" w:hAnsiTheme="minorHAnsi"/>
          <w:b/>
          <w:bCs/>
          <w:sz w:val="28"/>
          <w:szCs w:val="28"/>
          <w:u w:val="single"/>
        </w:rPr>
        <w:t>About the Survey</w:t>
      </w:r>
    </w:p>
    <w:p w:rsidR="00A25ED9" w:rsidRPr="00A16353" w:rsidRDefault="00A25ED9" w:rsidP="00105183">
      <w:pPr>
        <w:rPr>
          <w:rFonts w:asciiTheme="minorHAnsi" w:hAnsiTheme="minorHAnsi"/>
          <w:b/>
          <w:bCs/>
          <w:sz w:val="24"/>
          <w:u w:val="single"/>
        </w:rPr>
      </w:pPr>
    </w:p>
    <w:p w:rsidR="00105183" w:rsidRPr="00A16353" w:rsidRDefault="00105183" w:rsidP="009E29D4">
      <w:pPr>
        <w:jc w:val="both"/>
        <w:rPr>
          <w:rFonts w:asciiTheme="minorHAnsi" w:hAnsiTheme="minorHAnsi"/>
          <w:sz w:val="24"/>
        </w:rPr>
      </w:pPr>
      <w:r w:rsidRPr="00A16353">
        <w:rPr>
          <w:rFonts w:asciiTheme="minorHAnsi" w:hAnsiTheme="minorHAnsi"/>
          <w:sz w:val="24"/>
        </w:rPr>
        <w:t xml:space="preserve">     The results reported here are based on telephone interviews with</w:t>
      </w:r>
      <w:r w:rsidR="00C90EB0">
        <w:rPr>
          <w:rFonts w:asciiTheme="minorHAnsi" w:hAnsiTheme="minorHAnsi"/>
          <w:sz w:val="24"/>
        </w:rPr>
        <w:t xml:space="preserve"> </w:t>
      </w:r>
      <w:r w:rsidR="000C179A">
        <w:rPr>
          <w:rFonts w:asciiTheme="minorHAnsi" w:hAnsiTheme="minorHAnsi"/>
          <w:sz w:val="24"/>
        </w:rPr>
        <w:t>343</w:t>
      </w:r>
      <w:r w:rsidR="005326A4">
        <w:rPr>
          <w:rFonts w:asciiTheme="minorHAnsi" w:hAnsiTheme="minorHAnsi"/>
          <w:sz w:val="24"/>
        </w:rPr>
        <w:t xml:space="preserve"> </w:t>
      </w:r>
      <w:r w:rsidRPr="00A16353">
        <w:rPr>
          <w:rFonts w:asciiTheme="minorHAnsi" w:hAnsiTheme="minorHAnsi"/>
          <w:sz w:val="24"/>
        </w:rPr>
        <w:t>randomly selected adult residents, 18 years and older, from Davidson</w:t>
      </w:r>
      <w:r w:rsidR="00B0737F">
        <w:rPr>
          <w:rFonts w:asciiTheme="minorHAnsi" w:hAnsiTheme="minorHAnsi"/>
          <w:sz w:val="24"/>
        </w:rPr>
        <w:t xml:space="preserve"> County</w:t>
      </w:r>
      <w:r w:rsidRPr="00A16353">
        <w:rPr>
          <w:rFonts w:asciiTheme="minorHAnsi" w:hAnsiTheme="minorHAnsi"/>
          <w:sz w:val="24"/>
        </w:rPr>
        <w:t>, Rutherford</w:t>
      </w:r>
      <w:r w:rsidR="00B0737F">
        <w:rPr>
          <w:rFonts w:asciiTheme="minorHAnsi" w:hAnsiTheme="minorHAnsi"/>
          <w:sz w:val="24"/>
        </w:rPr>
        <w:t xml:space="preserve"> County</w:t>
      </w:r>
      <w:r w:rsidRPr="00A16353">
        <w:rPr>
          <w:rFonts w:asciiTheme="minorHAnsi" w:hAnsiTheme="minorHAnsi"/>
          <w:sz w:val="24"/>
        </w:rPr>
        <w:t xml:space="preserve"> and Williamson </w:t>
      </w:r>
      <w:r w:rsidR="00562F60">
        <w:rPr>
          <w:rFonts w:asciiTheme="minorHAnsi" w:hAnsiTheme="minorHAnsi"/>
          <w:sz w:val="24"/>
        </w:rPr>
        <w:t>C</w:t>
      </w:r>
      <w:r w:rsidRPr="00A16353">
        <w:rPr>
          <w:rFonts w:asciiTheme="minorHAnsi" w:hAnsiTheme="minorHAnsi"/>
          <w:sz w:val="24"/>
        </w:rPr>
        <w:t>ount</w:t>
      </w:r>
      <w:r w:rsidR="00B0737F">
        <w:rPr>
          <w:rFonts w:asciiTheme="minorHAnsi" w:hAnsiTheme="minorHAnsi"/>
          <w:sz w:val="24"/>
        </w:rPr>
        <w:t>y</w:t>
      </w:r>
      <w:r w:rsidRPr="00A16353">
        <w:rPr>
          <w:rFonts w:asciiTheme="minorHAnsi" w:hAnsiTheme="minorHAnsi"/>
          <w:sz w:val="24"/>
        </w:rPr>
        <w:t xml:space="preserve">.  Phone interviews were </w:t>
      </w:r>
      <w:r w:rsidRPr="007A6F4D">
        <w:rPr>
          <w:rFonts w:asciiTheme="minorHAnsi" w:hAnsiTheme="minorHAnsi"/>
          <w:sz w:val="24"/>
          <w:szCs w:val="24"/>
        </w:rPr>
        <w:t xml:space="preserve">conducted </w:t>
      </w:r>
      <w:r w:rsidR="007A6F4D" w:rsidRPr="007A6F4D">
        <w:rPr>
          <w:rFonts w:asciiTheme="minorHAnsi" w:hAnsiTheme="minorHAnsi"/>
          <w:sz w:val="24"/>
          <w:szCs w:val="24"/>
        </w:rPr>
        <w:t xml:space="preserve">between the evenings of </w:t>
      </w:r>
      <w:r w:rsidR="00F863C8">
        <w:rPr>
          <w:rFonts w:asciiTheme="minorHAnsi" w:hAnsiTheme="minorHAnsi"/>
          <w:sz w:val="24"/>
          <w:szCs w:val="24"/>
        </w:rPr>
        <w:t>Monday, September 8 and We</w:t>
      </w:r>
      <w:r w:rsidR="007A6F4D" w:rsidRPr="007A6F4D">
        <w:rPr>
          <w:rFonts w:asciiTheme="minorHAnsi" w:hAnsiTheme="minorHAnsi"/>
          <w:sz w:val="24"/>
          <w:szCs w:val="24"/>
        </w:rPr>
        <w:t xml:space="preserve">dnesday, </w:t>
      </w:r>
      <w:r w:rsidR="00F863C8">
        <w:rPr>
          <w:rFonts w:asciiTheme="minorHAnsi" w:hAnsiTheme="minorHAnsi"/>
          <w:sz w:val="24"/>
          <w:szCs w:val="24"/>
        </w:rPr>
        <w:t>September 10</w:t>
      </w:r>
      <w:r w:rsidR="007A6F4D" w:rsidRPr="007A6F4D">
        <w:rPr>
          <w:rFonts w:asciiTheme="minorHAnsi" w:hAnsiTheme="minorHAnsi"/>
          <w:sz w:val="24"/>
          <w:szCs w:val="24"/>
        </w:rPr>
        <w:t xml:space="preserve">.  </w:t>
      </w:r>
      <w:r w:rsidRPr="007A6F4D">
        <w:rPr>
          <w:rFonts w:asciiTheme="minorHAnsi" w:hAnsiTheme="minorHAnsi"/>
          <w:sz w:val="24"/>
          <w:szCs w:val="24"/>
        </w:rPr>
        <w:t>With a sample of</w:t>
      </w:r>
      <w:r w:rsidR="00453C72">
        <w:rPr>
          <w:rFonts w:asciiTheme="minorHAnsi" w:hAnsiTheme="minorHAnsi"/>
          <w:sz w:val="24"/>
          <w:szCs w:val="24"/>
        </w:rPr>
        <w:t xml:space="preserve"> </w:t>
      </w:r>
      <w:r w:rsidR="000C179A">
        <w:rPr>
          <w:rFonts w:asciiTheme="minorHAnsi" w:hAnsiTheme="minorHAnsi"/>
          <w:sz w:val="24"/>
          <w:szCs w:val="24"/>
        </w:rPr>
        <w:t>343</w:t>
      </w:r>
      <w:r w:rsidR="001E2C62" w:rsidRPr="007A6F4D">
        <w:rPr>
          <w:rFonts w:asciiTheme="minorHAnsi" w:hAnsiTheme="minorHAnsi"/>
          <w:sz w:val="24"/>
          <w:szCs w:val="24"/>
        </w:rPr>
        <w:t xml:space="preserve"> </w:t>
      </w:r>
      <w:r w:rsidRPr="007A6F4D">
        <w:rPr>
          <w:rFonts w:asciiTheme="minorHAnsi" w:hAnsiTheme="minorHAnsi"/>
          <w:sz w:val="24"/>
          <w:szCs w:val="24"/>
        </w:rPr>
        <w:t>people, we can say with 95% confidence that the amount of survey error</w:t>
      </w:r>
      <w:r w:rsidRPr="00A16353">
        <w:rPr>
          <w:rFonts w:asciiTheme="minorHAnsi" w:hAnsiTheme="minorHAnsi"/>
          <w:sz w:val="24"/>
        </w:rPr>
        <w:t xml:space="preserve"> due to taking a random sample instead of surveying all members of the population is ±</w:t>
      </w:r>
      <w:r w:rsidR="000D12D0">
        <w:rPr>
          <w:rFonts w:asciiTheme="minorHAnsi" w:hAnsiTheme="minorHAnsi"/>
          <w:sz w:val="24"/>
        </w:rPr>
        <w:t xml:space="preserve"> </w:t>
      </w:r>
      <w:r w:rsidR="000C179A">
        <w:rPr>
          <w:rFonts w:asciiTheme="minorHAnsi" w:hAnsiTheme="minorHAnsi"/>
          <w:sz w:val="24"/>
        </w:rPr>
        <w:t>5.3</w:t>
      </w:r>
      <w:r w:rsidR="00F863C8">
        <w:rPr>
          <w:rFonts w:asciiTheme="minorHAnsi" w:hAnsiTheme="minorHAnsi"/>
          <w:sz w:val="24"/>
        </w:rPr>
        <w:t>%</w:t>
      </w:r>
      <w:r w:rsidRPr="00A16353">
        <w:rPr>
          <w:rFonts w:asciiTheme="minorHAnsi" w:hAnsiTheme="minorHAnsi"/>
          <w:sz w:val="24"/>
        </w:rPr>
        <w:t xml:space="preserve">.  Other factors such as problems with question wording and question interpretation can also </w:t>
      </w:r>
      <w:r w:rsidR="00AB6215" w:rsidRPr="00A16353">
        <w:rPr>
          <w:rFonts w:asciiTheme="minorHAnsi" w:hAnsiTheme="minorHAnsi"/>
          <w:sz w:val="24"/>
        </w:rPr>
        <w:t xml:space="preserve">introduce </w:t>
      </w:r>
      <w:r w:rsidRPr="00A16353">
        <w:rPr>
          <w:rFonts w:asciiTheme="minorHAnsi" w:hAnsiTheme="minorHAnsi"/>
          <w:sz w:val="24"/>
        </w:rPr>
        <w:t xml:space="preserve">additional bias or error into the results.  Results from the Middle Tennessee </w:t>
      </w:r>
      <w:r w:rsidR="001C6BB5">
        <w:rPr>
          <w:rFonts w:asciiTheme="minorHAnsi" w:hAnsiTheme="minorHAnsi"/>
          <w:sz w:val="24"/>
        </w:rPr>
        <w:t>C</w:t>
      </w:r>
      <w:r w:rsidRPr="00A16353">
        <w:rPr>
          <w:rFonts w:asciiTheme="minorHAnsi" w:hAnsiTheme="minorHAnsi"/>
          <w:sz w:val="24"/>
        </w:rPr>
        <w:t xml:space="preserve">onsumer </w:t>
      </w:r>
      <w:r w:rsidR="001C6BB5">
        <w:rPr>
          <w:rFonts w:asciiTheme="minorHAnsi" w:hAnsiTheme="minorHAnsi"/>
          <w:sz w:val="24"/>
        </w:rPr>
        <w:t>O</w:t>
      </w:r>
      <w:r w:rsidR="005E61A0">
        <w:rPr>
          <w:rFonts w:asciiTheme="minorHAnsi" w:hAnsiTheme="minorHAnsi"/>
          <w:sz w:val="24"/>
        </w:rPr>
        <w:t xml:space="preserve">utlook </w:t>
      </w:r>
      <w:r w:rsidR="001C6BB5">
        <w:rPr>
          <w:rFonts w:asciiTheme="minorHAnsi" w:hAnsiTheme="minorHAnsi"/>
          <w:sz w:val="24"/>
        </w:rPr>
        <w:t>S</w:t>
      </w:r>
      <w:r w:rsidRPr="00A16353">
        <w:rPr>
          <w:rFonts w:asciiTheme="minorHAnsi" w:hAnsiTheme="minorHAnsi"/>
          <w:sz w:val="24"/>
        </w:rPr>
        <w:t>urveys can be compared to national consumer surveys published monthly by the Conference Board (</w:t>
      </w:r>
      <w:hyperlink r:id="rId16" w:history="1">
        <w:r w:rsidRPr="00A16353">
          <w:rPr>
            <w:rStyle w:val="Hyperlink"/>
            <w:rFonts w:asciiTheme="minorHAnsi" w:hAnsiTheme="minorHAnsi"/>
            <w:sz w:val="24"/>
          </w:rPr>
          <w:t>www.conference-board.org</w:t>
        </w:r>
      </w:hyperlink>
      <w:r w:rsidRPr="00A16353">
        <w:rPr>
          <w:rFonts w:asciiTheme="minorHAnsi" w:hAnsiTheme="minorHAnsi"/>
          <w:sz w:val="24"/>
        </w:rPr>
        <w:t xml:space="preserve">).  This report is also available on the </w:t>
      </w:r>
      <w:r w:rsidR="001C6BB5">
        <w:rPr>
          <w:rFonts w:asciiTheme="minorHAnsi" w:hAnsiTheme="minorHAnsi"/>
          <w:sz w:val="24"/>
        </w:rPr>
        <w:t xml:space="preserve">MTSU </w:t>
      </w:r>
      <w:r w:rsidR="005027A9" w:rsidRPr="00A16353">
        <w:rPr>
          <w:rFonts w:asciiTheme="minorHAnsi" w:hAnsiTheme="minorHAnsi"/>
          <w:sz w:val="24"/>
        </w:rPr>
        <w:t xml:space="preserve">Office of Consumer Research </w:t>
      </w:r>
      <w:r w:rsidRPr="00A16353">
        <w:rPr>
          <w:rFonts w:asciiTheme="minorHAnsi" w:hAnsiTheme="minorHAnsi"/>
          <w:sz w:val="24"/>
        </w:rPr>
        <w:t>web page (</w:t>
      </w:r>
      <w:hyperlink r:id="rId17" w:history="1">
        <w:r w:rsidR="00566943" w:rsidRPr="004F6CD3">
          <w:rPr>
            <w:rStyle w:val="Hyperlink"/>
            <w:rFonts w:asciiTheme="minorHAnsi" w:hAnsiTheme="minorHAnsi"/>
            <w:sz w:val="24"/>
          </w:rPr>
          <w:t>www.mtsu.edu/consumer</w:t>
        </w:r>
      </w:hyperlink>
      <w:r w:rsidRPr="00A16353">
        <w:rPr>
          <w:rFonts w:asciiTheme="minorHAnsi" w:hAnsiTheme="minorHAnsi"/>
          <w:sz w:val="24"/>
        </w:rPr>
        <w:t xml:space="preserve">).   </w:t>
      </w:r>
    </w:p>
    <w:p w:rsidR="00993846" w:rsidRPr="000955D5" w:rsidRDefault="00993846" w:rsidP="009E29D4">
      <w:pPr>
        <w:jc w:val="both"/>
        <w:rPr>
          <w:rFonts w:asciiTheme="minorHAnsi" w:hAnsiTheme="minorHAnsi"/>
          <w:sz w:val="24"/>
        </w:rPr>
      </w:pPr>
    </w:p>
    <w:p w:rsidR="00105183" w:rsidRPr="000955D5" w:rsidRDefault="00105183" w:rsidP="009E29D4">
      <w:pPr>
        <w:jc w:val="both"/>
        <w:rPr>
          <w:rFonts w:asciiTheme="minorHAnsi" w:hAnsiTheme="minorHAnsi"/>
          <w:sz w:val="24"/>
        </w:rPr>
      </w:pPr>
      <w:r w:rsidRPr="000955D5">
        <w:rPr>
          <w:rFonts w:asciiTheme="minorHAnsi" w:hAnsiTheme="minorHAnsi"/>
          <w:sz w:val="24"/>
        </w:rPr>
        <w:t xml:space="preserve">     The </w:t>
      </w:r>
      <w:r w:rsidR="00A07B8D" w:rsidRPr="000955D5">
        <w:rPr>
          <w:rFonts w:asciiTheme="minorHAnsi" w:hAnsiTheme="minorHAnsi"/>
          <w:sz w:val="24"/>
        </w:rPr>
        <w:t xml:space="preserve">Consumer </w:t>
      </w:r>
      <w:r w:rsidR="006C267E" w:rsidRPr="000955D5">
        <w:rPr>
          <w:rFonts w:asciiTheme="minorHAnsi" w:hAnsiTheme="minorHAnsi"/>
          <w:sz w:val="24"/>
        </w:rPr>
        <w:t>O</w:t>
      </w:r>
      <w:r w:rsidR="00A07B8D" w:rsidRPr="000955D5">
        <w:rPr>
          <w:rFonts w:asciiTheme="minorHAnsi" w:hAnsiTheme="minorHAnsi"/>
          <w:sz w:val="24"/>
        </w:rPr>
        <w:t xml:space="preserve">utlook </w:t>
      </w:r>
      <w:r w:rsidR="006C267E" w:rsidRPr="000955D5">
        <w:rPr>
          <w:rFonts w:asciiTheme="minorHAnsi" w:hAnsiTheme="minorHAnsi"/>
          <w:sz w:val="24"/>
        </w:rPr>
        <w:t>I</w:t>
      </w:r>
      <w:r w:rsidR="00A07B8D" w:rsidRPr="000955D5">
        <w:rPr>
          <w:rFonts w:asciiTheme="minorHAnsi" w:hAnsiTheme="minorHAnsi"/>
          <w:sz w:val="24"/>
        </w:rPr>
        <w:t>ndex</w:t>
      </w:r>
      <w:r w:rsidRPr="000955D5">
        <w:rPr>
          <w:rFonts w:asciiTheme="minorHAnsi" w:hAnsiTheme="minorHAnsi"/>
          <w:sz w:val="24"/>
        </w:rPr>
        <w:t xml:space="preserve"> is based on all 11</w:t>
      </w:r>
      <w:r w:rsidR="00EA6EAC" w:rsidRPr="000955D5">
        <w:rPr>
          <w:rFonts w:asciiTheme="minorHAnsi" w:hAnsiTheme="minorHAnsi"/>
          <w:sz w:val="24"/>
        </w:rPr>
        <w:t xml:space="preserve"> </w:t>
      </w:r>
      <w:r w:rsidRPr="000955D5">
        <w:rPr>
          <w:rFonts w:asciiTheme="minorHAnsi" w:hAnsiTheme="minorHAnsi"/>
          <w:sz w:val="24"/>
        </w:rPr>
        <w:t xml:space="preserve">survey questions outlined below.  The score is computed by adding the percentage of positive responses to each question, and subtracting the percentage of negative responses.  The </w:t>
      </w:r>
      <w:r w:rsidR="00993846" w:rsidRPr="000955D5">
        <w:rPr>
          <w:rFonts w:asciiTheme="minorHAnsi" w:hAnsiTheme="minorHAnsi"/>
          <w:sz w:val="24"/>
        </w:rPr>
        <w:t xml:space="preserve">Current </w:t>
      </w:r>
      <w:r w:rsidRPr="000955D5">
        <w:rPr>
          <w:rFonts w:asciiTheme="minorHAnsi" w:hAnsiTheme="minorHAnsi"/>
          <w:sz w:val="24"/>
        </w:rPr>
        <w:t xml:space="preserve">Situation Index is based on questions 1, 3, 5, and 7.  The Future Expectations Index is based on questions 2, 4, 6, and 8.  The Purchasing Index is based on questions 9, 10, and 11. </w:t>
      </w:r>
    </w:p>
    <w:p w:rsidR="00A25ED9" w:rsidRPr="000955D5" w:rsidRDefault="00A25ED9" w:rsidP="00105183">
      <w:pPr>
        <w:rPr>
          <w:rFonts w:asciiTheme="minorHAnsi" w:hAnsiTheme="minorHAnsi"/>
          <w:b/>
          <w:bCs/>
          <w:sz w:val="24"/>
          <w:u w:val="single"/>
        </w:rPr>
      </w:pPr>
    </w:p>
    <w:p w:rsidR="002B67F2" w:rsidRPr="00A16353" w:rsidRDefault="002B67F2" w:rsidP="00105183">
      <w:pPr>
        <w:rPr>
          <w:rFonts w:asciiTheme="minorHAnsi" w:hAnsiTheme="minorHAnsi"/>
          <w:b/>
          <w:bCs/>
          <w:sz w:val="24"/>
          <w:u w:val="single"/>
        </w:rPr>
      </w:pPr>
    </w:p>
    <w:p w:rsidR="00105183" w:rsidRPr="00F750BC" w:rsidRDefault="00105183" w:rsidP="00105183">
      <w:pPr>
        <w:rPr>
          <w:rFonts w:asciiTheme="minorHAnsi" w:hAnsiTheme="minorHAnsi"/>
          <w:b/>
          <w:bCs/>
          <w:sz w:val="28"/>
          <w:szCs w:val="28"/>
          <w:u w:val="single"/>
        </w:rPr>
      </w:pPr>
      <w:r w:rsidRPr="00F750BC">
        <w:rPr>
          <w:rFonts w:asciiTheme="minorHAnsi" w:hAnsiTheme="minorHAnsi"/>
          <w:b/>
          <w:bCs/>
          <w:sz w:val="28"/>
          <w:szCs w:val="28"/>
          <w:u w:val="single"/>
        </w:rPr>
        <w:t>About the Office of Consumer Research at MTSU</w:t>
      </w:r>
    </w:p>
    <w:p w:rsidR="00A25ED9" w:rsidRPr="00A16353" w:rsidRDefault="00A25ED9" w:rsidP="00105183">
      <w:pPr>
        <w:rPr>
          <w:rFonts w:asciiTheme="minorHAnsi" w:hAnsiTheme="minorHAnsi"/>
          <w:b/>
          <w:bCs/>
          <w:sz w:val="24"/>
          <w:u w:val="single"/>
        </w:rPr>
      </w:pPr>
    </w:p>
    <w:p w:rsidR="00105183" w:rsidRPr="00A16353" w:rsidRDefault="00105183" w:rsidP="009E29D4">
      <w:pPr>
        <w:jc w:val="both"/>
        <w:rPr>
          <w:rFonts w:asciiTheme="minorHAnsi" w:hAnsiTheme="minorHAnsi"/>
          <w:sz w:val="24"/>
        </w:rPr>
      </w:pPr>
      <w:r w:rsidRPr="00A16353">
        <w:rPr>
          <w:rFonts w:asciiTheme="minorHAnsi" w:hAnsiTheme="minorHAnsi"/>
          <w:sz w:val="24"/>
        </w:rPr>
        <w:t xml:space="preserve">     </w:t>
      </w:r>
      <w:r w:rsidR="00906A6F" w:rsidRPr="00A16353">
        <w:rPr>
          <w:rFonts w:asciiTheme="minorHAnsi" w:hAnsiTheme="minorHAnsi"/>
          <w:sz w:val="24"/>
        </w:rPr>
        <w:t>In 2000, t</w:t>
      </w:r>
      <w:r w:rsidRPr="00A16353">
        <w:rPr>
          <w:rFonts w:asciiTheme="minorHAnsi" w:hAnsiTheme="minorHAnsi"/>
          <w:sz w:val="24"/>
        </w:rPr>
        <w:t>he Management and Marketing Department at Middle Tennessee State University received funding from an MTSU Technology Access Fee grant to create a telephone survey research lab and the Office of Consumer Research to be housed in the department.  The Office of Consumer Research uses the telephone survey lab to conduct surveys of consumer</w:t>
      </w:r>
      <w:r w:rsidR="00EE0442">
        <w:rPr>
          <w:rFonts w:asciiTheme="minorHAnsi" w:hAnsiTheme="minorHAnsi"/>
          <w:sz w:val="24"/>
        </w:rPr>
        <w:t>s</w:t>
      </w:r>
      <w:r w:rsidRPr="00A16353">
        <w:rPr>
          <w:rFonts w:asciiTheme="minorHAnsi" w:hAnsiTheme="minorHAnsi"/>
          <w:sz w:val="24"/>
        </w:rPr>
        <w:t xml:space="preserve"> in Middle Tennessee.  The surveys measure consumers’ perceptions of economic conditions in the country as a whole as well as in Middle Tennessee.  Similar surveys conducted by the Conference Board and the Survey Research Center at the University of Michigan have been shown to be very predictive of key economic indicators such as inflation, interest rates and consumer spending.       </w:t>
      </w:r>
    </w:p>
    <w:p w:rsidR="00105183" w:rsidRPr="00A16353" w:rsidRDefault="00105183" w:rsidP="009E29D4">
      <w:pPr>
        <w:jc w:val="both"/>
        <w:rPr>
          <w:rFonts w:asciiTheme="minorHAnsi" w:hAnsiTheme="minorHAnsi"/>
          <w:sz w:val="24"/>
        </w:rPr>
      </w:pPr>
      <w:r w:rsidRPr="00A16353">
        <w:rPr>
          <w:rFonts w:asciiTheme="minorHAnsi" w:hAnsiTheme="minorHAnsi"/>
          <w:sz w:val="24"/>
        </w:rPr>
        <w:t xml:space="preserve">          Students in Professor Timothy R. </w:t>
      </w:r>
      <w:proofErr w:type="spellStart"/>
      <w:r w:rsidRPr="00A16353">
        <w:rPr>
          <w:rFonts w:asciiTheme="minorHAnsi" w:hAnsiTheme="minorHAnsi"/>
          <w:sz w:val="24"/>
        </w:rPr>
        <w:t>Graeff’s</w:t>
      </w:r>
      <w:proofErr w:type="spellEnd"/>
      <w:r w:rsidRPr="00A16353">
        <w:rPr>
          <w:rFonts w:asciiTheme="minorHAnsi" w:hAnsiTheme="minorHAnsi"/>
          <w:sz w:val="24"/>
        </w:rPr>
        <w:t xml:space="preserve"> marketing research courses conduct the telephone surveys.  For further information contact Timothy R. Graeff, Professor of Marketing and Director, Office of Consumer Research (898-5124; </w:t>
      </w:r>
      <w:r w:rsidR="00E14DB2">
        <w:rPr>
          <w:rFonts w:asciiTheme="minorHAnsi" w:hAnsiTheme="minorHAnsi"/>
          <w:sz w:val="24"/>
        </w:rPr>
        <w:t>Tim.Graeff</w:t>
      </w:r>
      <w:r w:rsidRPr="00A16353">
        <w:rPr>
          <w:rFonts w:asciiTheme="minorHAnsi" w:hAnsiTheme="minorHAnsi"/>
          <w:sz w:val="24"/>
        </w:rPr>
        <w:t>@mtsu.edu).</w:t>
      </w:r>
    </w:p>
    <w:p w:rsidR="00FE663C" w:rsidRPr="00A16353" w:rsidRDefault="00FE663C" w:rsidP="00FF2BE6">
      <w:pPr>
        <w:rPr>
          <w:rFonts w:asciiTheme="minorHAnsi" w:hAnsiTheme="minorHAnsi"/>
          <w:b/>
          <w:bCs/>
          <w:sz w:val="24"/>
          <w:u w:val="single"/>
        </w:rPr>
      </w:pPr>
    </w:p>
    <w:p w:rsidR="0070502B" w:rsidRPr="001C6BB5" w:rsidRDefault="00EA1CA8">
      <w:pPr>
        <w:rPr>
          <w:rFonts w:asciiTheme="minorHAnsi" w:hAnsiTheme="minorHAnsi"/>
          <w:b/>
          <w:bCs/>
          <w:sz w:val="28"/>
          <w:szCs w:val="28"/>
          <w:u w:val="single"/>
        </w:rPr>
      </w:pPr>
      <w:r>
        <w:rPr>
          <w:rFonts w:asciiTheme="minorHAnsi" w:hAnsiTheme="minorHAnsi"/>
          <w:b/>
          <w:bCs/>
          <w:sz w:val="24"/>
          <w:u w:val="single"/>
        </w:rPr>
        <w:br w:type="column"/>
      </w:r>
      <w:r w:rsidR="0070502B" w:rsidRPr="001C6BB5">
        <w:rPr>
          <w:rFonts w:asciiTheme="minorHAnsi" w:hAnsiTheme="minorHAnsi"/>
          <w:b/>
          <w:bCs/>
          <w:sz w:val="28"/>
          <w:szCs w:val="28"/>
          <w:u w:val="single"/>
        </w:rPr>
        <w:lastRenderedPageBreak/>
        <w:t xml:space="preserve">The Middle Tennessee Consumer </w:t>
      </w:r>
      <w:r w:rsidR="00BC26BC" w:rsidRPr="001C6BB5">
        <w:rPr>
          <w:rFonts w:asciiTheme="minorHAnsi" w:hAnsiTheme="minorHAnsi"/>
          <w:b/>
          <w:bCs/>
          <w:sz w:val="28"/>
          <w:szCs w:val="28"/>
          <w:u w:val="single"/>
        </w:rPr>
        <w:t>Outlook</w:t>
      </w:r>
      <w:r w:rsidR="0070502B" w:rsidRPr="001C6BB5">
        <w:rPr>
          <w:rFonts w:asciiTheme="minorHAnsi" w:hAnsiTheme="minorHAnsi"/>
          <w:b/>
          <w:bCs/>
          <w:sz w:val="28"/>
          <w:szCs w:val="28"/>
          <w:u w:val="single"/>
        </w:rPr>
        <w:t xml:space="preserve"> Survey: </w:t>
      </w:r>
    </w:p>
    <w:p w:rsidR="002E038E" w:rsidRDefault="002E038E">
      <w:pPr>
        <w:rPr>
          <w:rFonts w:asciiTheme="minorHAnsi" w:hAnsiTheme="minorHAnsi"/>
          <w:b/>
          <w:bCs/>
          <w:sz w:val="24"/>
          <w:u w:val="single"/>
        </w:rPr>
      </w:pPr>
    </w:p>
    <w:p w:rsidR="002E038E" w:rsidRDefault="002E038E">
      <w:pPr>
        <w:rPr>
          <w:rFonts w:asciiTheme="minorHAnsi" w:hAnsiTheme="minorHAnsi"/>
          <w:bCs/>
          <w:sz w:val="24"/>
        </w:rPr>
      </w:pPr>
      <w:r w:rsidRPr="002E038E">
        <w:rPr>
          <w:rFonts w:asciiTheme="minorHAnsi" w:hAnsiTheme="minorHAnsi"/>
          <w:b/>
          <w:bCs/>
          <w:sz w:val="24"/>
        </w:rPr>
        <w:t>[</w:t>
      </w:r>
      <w:r w:rsidR="00566943">
        <w:rPr>
          <w:rFonts w:asciiTheme="minorHAnsi" w:hAnsiTheme="minorHAnsi"/>
          <w:b/>
          <w:bCs/>
          <w:sz w:val="24"/>
        </w:rPr>
        <w:t>C</w:t>
      </w:r>
      <w:r w:rsidRPr="002E038E">
        <w:rPr>
          <w:rFonts w:asciiTheme="minorHAnsi" w:hAnsiTheme="minorHAnsi"/>
          <w:b/>
          <w:bCs/>
          <w:sz w:val="24"/>
        </w:rPr>
        <w:t>]</w:t>
      </w:r>
      <w:r w:rsidRPr="002E038E">
        <w:rPr>
          <w:rFonts w:asciiTheme="minorHAnsi" w:hAnsiTheme="minorHAnsi"/>
          <w:bCs/>
          <w:sz w:val="24"/>
        </w:rPr>
        <w:t xml:space="preserve"> = included in the </w:t>
      </w:r>
      <w:r w:rsidR="00566943">
        <w:rPr>
          <w:rFonts w:asciiTheme="minorHAnsi" w:hAnsiTheme="minorHAnsi"/>
          <w:bCs/>
          <w:sz w:val="24"/>
        </w:rPr>
        <w:t>Current</w:t>
      </w:r>
      <w:r w:rsidRPr="002E038E">
        <w:rPr>
          <w:rFonts w:asciiTheme="minorHAnsi" w:hAnsiTheme="minorHAnsi"/>
          <w:bCs/>
          <w:sz w:val="24"/>
        </w:rPr>
        <w:t xml:space="preserve"> Situation Index</w:t>
      </w:r>
    </w:p>
    <w:p w:rsidR="002E038E" w:rsidRDefault="002E038E">
      <w:pPr>
        <w:rPr>
          <w:rFonts w:asciiTheme="minorHAnsi" w:hAnsiTheme="minorHAnsi"/>
          <w:bCs/>
          <w:sz w:val="24"/>
        </w:rPr>
      </w:pPr>
      <w:r w:rsidRPr="002E038E">
        <w:rPr>
          <w:rFonts w:asciiTheme="minorHAnsi" w:hAnsiTheme="minorHAnsi"/>
          <w:b/>
          <w:bCs/>
          <w:sz w:val="24"/>
        </w:rPr>
        <w:t xml:space="preserve">[F] </w:t>
      </w:r>
      <w:r w:rsidRPr="002E038E">
        <w:rPr>
          <w:rFonts w:asciiTheme="minorHAnsi" w:hAnsiTheme="minorHAnsi"/>
          <w:bCs/>
          <w:sz w:val="24"/>
        </w:rPr>
        <w:t xml:space="preserve">= included in the Future Expectations Index; </w:t>
      </w:r>
    </w:p>
    <w:p w:rsidR="002E038E" w:rsidRPr="002E038E" w:rsidRDefault="002E038E">
      <w:pPr>
        <w:rPr>
          <w:rFonts w:asciiTheme="minorHAnsi" w:hAnsiTheme="minorHAnsi"/>
          <w:bCs/>
          <w:sz w:val="24"/>
        </w:rPr>
      </w:pPr>
      <w:r w:rsidRPr="002E038E">
        <w:rPr>
          <w:rFonts w:asciiTheme="minorHAnsi" w:hAnsiTheme="minorHAnsi"/>
          <w:b/>
          <w:bCs/>
          <w:sz w:val="24"/>
        </w:rPr>
        <w:t>[P]</w:t>
      </w:r>
      <w:r w:rsidRPr="002E038E">
        <w:rPr>
          <w:rFonts w:asciiTheme="minorHAnsi" w:hAnsiTheme="minorHAnsi"/>
          <w:bCs/>
          <w:sz w:val="24"/>
        </w:rPr>
        <w:t xml:space="preserve"> = included in the Purchasing Situation Index</w:t>
      </w:r>
    </w:p>
    <w:p w:rsidR="0070502B" w:rsidRPr="00A16353" w:rsidRDefault="0070502B">
      <w:pPr>
        <w:rPr>
          <w:rFonts w:asciiTheme="minorHAnsi" w:hAnsiTheme="minorHAnsi"/>
          <w:sz w:val="24"/>
        </w:rPr>
      </w:pPr>
    </w:p>
    <w:p w:rsidR="0070502B" w:rsidRPr="00A16353" w:rsidRDefault="002E038E" w:rsidP="009E29D4">
      <w:pPr>
        <w:numPr>
          <w:ilvl w:val="0"/>
          <w:numId w:val="1"/>
        </w:numPr>
        <w:jc w:val="both"/>
        <w:rPr>
          <w:rFonts w:asciiTheme="minorHAnsi" w:eastAsia="MS Mincho" w:hAnsiTheme="minorHAnsi"/>
          <w:sz w:val="22"/>
          <w:szCs w:val="22"/>
        </w:rPr>
      </w:pPr>
      <w:r w:rsidRPr="002E038E">
        <w:rPr>
          <w:rFonts w:asciiTheme="minorHAnsi" w:eastAsia="MS Mincho" w:hAnsiTheme="minorHAnsi"/>
          <w:b/>
          <w:sz w:val="22"/>
          <w:szCs w:val="22"/>
        </w:rPr>
        <w:t>[</w:t>
      </w:r>
      <w:r w:rsidR="00566943">
        <w:rPr>
          <w:rFonts w:asciiTheme="minorHAnsi" w:eastAsia="MS Mincho" w:hAnsiTheme="minorHAnsi"/>
          <w:b/>
          <w:sz w:val="22"/>
          <w:szCs w:val="22"/>
        </w:rPr>
        <w:t>C</w:t>
      </w:r>
      <w:r w:rsidRPr="002E038E">
        <w:rPr>
          <w:rFonts w:asciiTheme="minorHAnsi" w:eastAsia="MS Mincho" w:hAnsiTheme="minorHAnsi"/>
          <w:b/>
          <w:sz w:val="22"/>
          <w:szCs w:val="22"/>
        </w:rPr>
        <w:t>]</w:t>
      </w:r>
      <w:r>
        <w:rPr>
          <w:rFonts w:asciiTheme="minorHAnsi" w:eastAsia="MS Mincho" w:hAnsiTheme="minorHAnsi"/>
          <w:sz w:val="22"/>
          <w:szCs w:val="22"/>
        </w:rPr>
        <w:t xml:space="preserve"> </w:t>
      </w:r>
      <w:r w:rsidR="0070502B" w:rsidRPr="00A16353">
        <w:rPr>
          <w:rFonts w:asciiTheme="minorHAnsi" w:eastAsia="MS Mincho" w:hAnsiTheme="minorHAnsi"/>
          <w:sz w:val="22"/>
          <w:szCs w:val="22"/>
        </w:rPr>
        <w:t>Turning first to business conditions in the country as a whole, would you say that business conditions in the country as a whole are good, bad, or somewhere in between?</w:t>
      </w:r>
      <w:r>
        <w:rPr>
          <w:rFonts w:asciiTheme="minorHAnsi" w:eastAsia="MS Mincho" w:hAnsiTheme="minorHAnsi"/>
          <w:sz w:val="22"/>
          <w:szCs w:val="22"/>
        </w:rPr>
        <w:t xml:space="preserve"> </w:t>
      </w:r>
    </w:p>
    <w:p w:rsidR="0070502B" w:rsidRPr="00A16353" w:rsidRDefault="0070502B" w:rsidP="009E29D4">
      <w:pPr>
        <w:ind w:left="360"/>
        <w:jc w:val="both"/>
        <w:rPr>
          <w:rFonts w:asciiTheme="minorHAnsi" w:hAnsiTheme="minorHAnsi"/>
          <w:sz w:val="22"/>
          <w:szCs w:val="22"/>
        </w:rPr>
      </w:pPr>
    </w:p>
    <w:p w:rsidR="0070502B" w:rsidRPr="00A16353" w:rsidRDefault="002E038E" w:rsidP="009E29D4">
      <w:pPr>
        <w:numPr>
          <w:ilvl w:val="0"/>
          <w:numId w:val="1"/>
        </w:numPr>
        <w:jc w:val="both"/>
        <w:rPr>
          <w:rFonts w:asciiTheme="minorHAnsi" w:eastAsia="MS Mincho" w:hAnsiTheme="minorHAnsi"/>
          <w:sz w:val="22"/>
          <w:szCs w:val="22"/>
        </w:rPr>
      </w:pPr>
      <w:r w:rsidRPr="002E038E">
        <w:rPr>
          <w:rFonts w:asciiTheme="minorHAnsi" w:eastAsia="MS Mincho" w:hAnsiTheme="minorHAnsi"/>
          <w:b/>
          <w:sz w:val="22"/>
          <w:szCs w:val="22"/>
        </w:rPr>
        <w:t>[F]</w:t>
      </w:r>
      <w:r>
        <w:rPr>
          <w:rFonts w:asciiTheme="minorHAnsi" w:eastAsia="MS Mincho" w:hAnsiTheme="minorHAnsi"/>
          <w:sz w:val="22"/>
          <w:szCs w:val="22"/>
        </w:rPr>
        <w:t xml:space="preserve"> </w:t>
      </w:r>
      <w:r w:rsidR="0070502B" w:rsidRPr="00A16353">
        <w:rPr>
          <w:rFonts w:asciiTheme="minorHAnsi" w:eastAsia="MS Mincho" w:hAnsiTheme="minorHAnsi"/>
          <w:sz w:val="22"/>
          <w:szCs w:val="22"/>
        </w:rPr>
        <w:t>And how about 6 months from now, do you expect that in the country as a whole business conditions will be better than they are today, worse than they are today, or just about the same?</w:t>
      </w:r>
    </w:p>
    <w:p w:rsidR="0070502B" w:rsidRPr="00A16353" w:rsidRDefault="0070502B" w:rsidP="009E29D4">
      <w:pPr>
        <w:ind w:left="360"/>
        <w:jc w:val="both"/>
        <w:rPr>
          <w:rFonts w:asciiTheme="minorHAnsi" w:eastAsia="MS Mincho" w:hAnsiTheme="minorHAnsi"/>
          <w:sz w:val="22"/>
          <w:szCs w:val="22"/>
        </w:rPr>
      </w:pPr>
    </w:p>
    <w:p w:rsidR="0070502B" w:rsidRPr="00A16353" w:rsidRDefault="002E038E" w:rsidP="009E29D4">
      <w:pPr>
        <w:pStyle w:val="PlainText"/>
        <w:numPr>
          <w:ilvl w:val="0"/>
          <w:numId w:val="1"/>
        </w:numPr>
        <w:jc w:val="both"/>
        <w:rPr>
          <w:rFonts w:asciiTheme="minorHAnsi" w:eastAsia="MS Mincho" w:hAnsiTheme="minorHAnsi" w:cs="Times New Roman"/>
          <w:sz w:val="22"/>
          <w:szCs w:val="22"/>
        </w:rPr>
      </w:pPr>
      <w:r w:rsidRPr="002E038E">
        <w:rPr>
          <w:rFonts w:asciiTheme="minorHAnsi" w:eastAsia="MS Mincho" w:hAnsiTheme="minorHAnsi" w:cs="Times New Roman"/>
          <w:b/>
          <w:sz w:val="22"/>
          <w:szCs w:val="22"/>
        </w:rPr>
        <w:t>[</w:t>
      </w:r>
      <w:r w:rsidR="00566943">
        <w:rPr>
          <w:rFonts w:asciiTheme="minorHAnsi" w:eastAsia="MS Mincho" w:hAnsiTheme="minorHAnsi" w:cs="Times New Roman"/>
          <w:b/>
          <w:sz w:val="22"/>
          <w:szCs w:val="22"/>
        </w:rPr>
        <w:t>C</w:t>
      </w:r>
      <w:r w:rsidRPr="002E038E">
        <w:rPr>
          <w:rFonts w:asciiTheme="minorHAnsi" w:eastAsia="MS Mincho" w:hAnsiTheme="minorHAnsi" w:cs="Times New Roman"/>
          <w:b/>
          <w:sz w:val="22"/>
          <w:szCs w:val="22"/>
        </w:rPr>
        <w:t>]</w:t>
      </w:r>
      <w:r>
        <w:rPr>
          <w:rFonts w:asciiTheme="minorHAnsi" w:eastAsia="MS Mincho" w:hAnsiTheme="minorHAnsi" w:cs="Times New Roman"/>
          <w:sz w:val="22"/>
          <w:szCs w:val="22"/>
        </w:rPr>
        <w:t xml:space="preserve"> </w:t>
      </w:r>
      <w:r w:rsidR="0070502B" w:rsidRPr="00A16353">
        <w:rPr>
          <w:rFonts w:asciiTheme="minorHAnsi" w:eastAsia="MS Mincho" w:hAnsiTheme="minorHAnsi" w:cs="Times New Roman"/>
          <w:sz w:val="22"/>
          <w:szCs w:val="22"/>
        </w:rPr>
        <w:t>Now turning to business conditions in Middle Tennessee, would you say that business conditions in Middle Tennessee are good, bad, or somewhere in between?</w:t>
      </w:r>
    </w:p>
    <w:p w:rsidR="0070502B" w:rsidRPr="00A16353" w:rsidRDefault="0070502B" w:rsidP="009E29D4">
      <w:pPr>
        <w:pStyle w:val="PlainText"/>
        <w:ind w:left="360"/>
        <w:jc w:val="both"/>
        <w:rPr>
          <w:rFonts w:asciiTheme="minorHAnsi" w:eastAsia="MS Mincho" w:hAnsiTheme="minorHAnsi" w:cs="Times New Roman"/>
          <w:sz w:val="22"/>
          <w:szCs w:val="22"/>
        </w:rPr>
      </w:pPr>
    </w:p>
    <w:p w:rsidR="0070502B" w:rsidRPr="00A16353" w:rsidRDefault="002E038E" w:rsidP="009E29D4">
      <w:pPr>
        <w:pStyle w:val="PlainText"/>
        <w:numPr>
          <w:ilvl w:val="0"/>
          <w:numId w:val="1"/>
        </w:numPr>
        <w:jc w:val="both"/>
        <w:rPr>
          <w:rFonts w:asciiTheme="minorHAnsi" w:eastAsia="MS Mincho" w:hAnsiTheme="minorHAnsi" w:cs="Times New Roman"/>
          <w:sz w:val="22"/>
          <w:szCs w:val="22"/>
        </w:rPr>
      </w:pPr>
      <w:r w:rsidRPr="002E038E">
        <w:rPr>
          <w:rFonts w:asciiTheme="minorHAnsi" w:eastAsia="MS Mincho" w:hAnsiTheme="minorHAnsi" w:cs="Times New Roman"/>
          <w:b/>
          <w:sz w:val="22"/>
          <w:szCs w:val="22"/>
        </w:rPr>
        <w:t>[F]</w:t>
      </w:r>
      <w:r>
        <w:rPr>
          <w:rFonts w:asciiTheme="minorHAnsi" w:eastAsia="MS Mincho" w:hAnsiTheme="minorHAnsi" w:cs="Times New Roman"/>
          <w:sz w:val="22"/>
          <w:szCs w:val="22"/>
        </w:rPr>
        <w:t xml:space="preserve"> </w:t>
      </w:r>
      <w:r w:rsidR="0070502B" w:rsidRPr="00A16353">
        <w:rPr>
          <w:rFonts w:asciiTheme="minorHAnsi" w:eastAsia="MS Mincho" w:hAnsiTheme="minorHAnsi" w:cs="Times New Roman"/>
          <w:sz w:val="22"/>
          <w:szCs w:val="22"/>
        </w:rPr>
        <w:t>And how about 6 months from now, do you expect that in Middle Tennessee business conditions will be better than they are today, worse than they are today, or just about the same?</w:t>
      </w:r>
    </w:p>
    <w:p w:rsidR="0070502B" w:rsidRPr="00A16353" w:rsidRDefault="0070502B" w:rsidP="009E29D4">
      <w:pPr>
        <w:pStyle w:val="PlainText"/>
        <w:jc w:val="both"/>
        <w:rPr>
          <w:rFonts w:asciiTheme="minorHAnsi" w:eastAsia="MS Mincho" w:hAnsiTheme="minorHAnsi" w:cs="Times New Roman"/>
          <w:sz w:val="22"/>
          <w:szCs w:val="22"/>
        </w:rPr>
      </w:pPr>
    </w:p>
    <w:p w:rsidR="0070502B" w:rsidRPr="00A16353" w:rsidRDefault="002E038E" w:rsidP="009E29D4">
      <w:pPr>
        <w:pStyle w:val="PlainText"/>
        <w:numPr>
          <w:ilvl w:val="0"/>
          <w:numId w:val="1"/>
        </w:numPr>
        <w:jc w:val="both"/>
        <w:rPr>
          <w:rFonts w:asciiTheme="minorHAnsi" w:eastAsia="MS Mincho" w:hAnsiTheme="minorHAnsi" w:cs="Times New Roman"/>
          <w:sz w:val="22"/>
          <w:szCs w:val="22"/>
        </w:rPr>
      </w:pPr>
      <w:r w:rsidRPr="002E038E">
        <w:rPr>
          <w:rFonts w:asciiTheme="minorHAnsi" w:eastAsia="MS Mincho" w:hAnsiTheme="minorHAnsi" w:cs="Times New Roman"/>
          <w:b/>
          <w:sz w:val="22"/>
          <w:szCs w:val="22"/>
        </w:rPr>
        <w:t>[</w:t>
      </w:r>
      <w:r w:rsidR="00566943">
        <w:rPr>
          <w:rFonts w:asciiTheme="minorHAnsi" w:eastAsia="MS Mincho" w:hAnsiTheme="minorHAnsi" w:cs="Times New Roman"/>
          <w:b/>
          <w:sz w:val="22"/>
          <w:szCs w:val="22"/>
        </w:rPr>
        <w:t>C</w:t>
      </w:r>
      <w:r w:rsidRPr="002E038E">
        <w:rPr>
          <w:rFonts w:asciiTheme="minorHAnsi" w:eastAsia="MS Mincho" w:hAnsiTheme="minorHAnsi" w:cs="Times New Roman"/>
          <w:b/>
          <w:sz w:val="22"/>
          <w:szCs w:val="22"/>
        </w:rPr>
        <w:t>]</w:t>
      </w:r>
      <w:r>
        <w:rPr>
          <w:rFonts w:asciiTheme="minorHAnsi" w:eastAsia="MS Mincho" w:hAnsiTheme="minorHAnsi" w:cs="Times New Roman"/>
          <w:sz w:val="22"/>
          <w:szCs w:val="22"/>
        </w:rPr>
        <w:t xml:space="preserve"> </w:t>
      </w:r>
      <w:r w:rsidR="0070502B" w:rsidRPr="00A16353">
        <w:rPr>
          <w:rFonts w:asciiTheme="minorHAnsi" w:eastAsia="MS Mincho" w:hAnsiTheme="minorHAnsi" w:cs="Times New Roman"/>
          <w:sz w:val="22"/>
          <w:szCs w:val="22"/>
        </w:rPr>
        <w:t>Now turning to the availability of jobs in Middle Tennessee, would you say that jobs are easy to find, can be found with effort, or hard to find?</w:t>
      </w:r>
    </w:p>
    <w:p w:rsidR="0070502B" w:rsidRPr="00A16353" w:rsidRDefault="0070502B" w:rsidP="009E29D4">
      <w:pPr>
        <w:pStyle w:val="PlainText"/>
        <w:ind w:left="360"/>
        <w:jc w:val="both"/>
        <w:rPr>
          <w:rFonts w:asciiTheme="minorHAnsi" w:eastAsia="MS Mincho" w:hAnsiTheme="minorHAnsi" w:cs="Times New Roman"/>
          <w:sz w:val="22"/>
          <w:szCs w:val="22"/>
        </w:rPr>
      </w:pPr>
    </w:p>
    <w:p w:rsidR="0070502B" w:rsidRPr="00A16353" w:rsidRDefault="002E038E" w:rsidP="009E29D4">
      <w:pPr>
        <w:pStyle w:val="PlainText"/>
        <w:numPr>
          <w:ilvl w:val="0"/>
          <w:numId w:val="1"/>
        </w:numPr>
        <w:jc w:val="both"/>
        <w:rPr>
          <w:rFonts w:asciiTheme="minorHAnsi" w:eastAsia="MS Mincho" w:hAnsiTheme="minorHAnsi" w:cs="Times New Roman"/>
          <w:sz w:val="22"/>
          <w:szCs w:val="22"/>
        </w:rPr>
      </w:pPr>
      <w:r w:rsidRPr="002E038E">
        <w:rPr>
          <w:rFonts w:asciiTheme="minorHAnsi" w:eastAsia="MS Mincho" w:hAnsiTheme="minorHAnsi" w:cs="Times New Roman"/>
          <w:b/>
          <w:sz w:val="22"/>
          <w:szCs w:val="22"/>
        </w:rPr>
        <w:t>[F]</w:t>
      </w:r>
      <w:r>
        <w:rPr>
          <w:rFonts w:asciiTheme="minorHAnsi" w:eastAsia="MS Mincho" w:hAnsiTheme="minorHAnsi" w:cs="Times New Roman"/>
          <w:sz w:val="22"/>
          <w:szCs w:val="22"/>
        </w:rPr>
        <w:t xml:space="preserve"> </w:t>
      </w:r>
      <w:r w:rsidR="0070502B" w:rsidRPr="00A16353">
        <w:rPr>
          <w:rFonts w:asciiTheme="minorHAnsi" w:eastAsia="MS Mincho" w:hAnsiTheme="minorHAnsi" w:cs="Times New Roman"/>
          <w:sz w:val="22"/>
          <w:szCs w:val="22"/>
        </w:rPr>
        <w:t>How about in the next 6 months, do you expect that in Middle Tennessee there will be more job openings than there are now, fewer job openings than there are now, or about the same number of job openings?</w:t>
      </w:r>
    </w:p>
    <w:p w:rsidR="0070502B" w:rsidRPr="00A16353" w:rsidRDefault="0070502B" w:rsidP="009E29D4">
      <w:pPr>
        <w:pStyle w:val="PlainText"/>
        <w:jc w:val="both"/>
        <w:rPr>
          <w:rFonts w:asciiTheme="minorHAnsi" w:eastAsia="MS Mincho" w:hAnsiTheme="minorHAnsi" w:cs="Times New Roman"/>
          <w:sz w:val="22"/>
          <w:szCs w:val="22"/>
        </w:rPr>
      </w:pPr>
    </w:p>
    <w:p w:rsidR="0070502B" w:rsidRPr="00A16353" w:rsidRDefault="002E038E" w:rsidP="009E29D4">
      <w:pPr>
        <w:pStyle w:val="PlainText"/>
        <w:numPr>
          <w:ilvl w:val="0"/>
          <w:numId w:val="1"/>
        </w:numPr>
        <w:jc w:val="both"/>
        <w:rPr>
          <w:rFonts w:asciiTheme="minorHAnsi" w:eastAsia="MS Mincho" w:hAnsiTheme="minorHAnsi" w:cs="Times New Roman"/>
          <w:sz w:val="22"/>
          <w:szCs w:val="22"/>
        </w:rPr>
      </w:pPr>
      <w:r w:rsidRPr="002E038E">
        <w:rPr>
          <w:rFonts w:asciiTheme="minorHAnsi" w:eastAsia="MS Mincho" w:hAnsiTheme="minorHAnsi" w:cs="Times New Roman"/>
          <w:b/>
          <w:sz w:val="22"/>
          <w:szCs w:val="22"/>
        </w:rPr>
        <w:t>[</w:t>
      </w:r>
      <w:r w:rsidR="00566943">
        <w:rPr>
          <w:rFonts w:asciiTheme="minorHAnsi" w:eastAsia="MS Mincho" w:hAnsiTheme="minorHAnsi" w:cs="Times New Roman"/>
          <w:b/>
          <w:sz w:val="22"/>
          <w:szCs w:val="22"/>
        </w:rPr>
        <w:t>C</w:t>
      </w:r>
      <w:r w:rsidRPr="002E038E">
        <w:rPr>
          <w:rFonts w:asciiTheme="minorHAnsi" w:eastAsia="MS Mincho" w:hAnsiTheme="minorHAnsi" w:cs="Times New Roman"/>
          <w:b/>
          <w:sz w:val="22"/>
          <w:szCs w:val="22"/>
        </w:rPr>
        <w:t>]</w:t>
      </w:r>
      <w:r>
        <w:rPr>
          <w:rFonts w:asciiTheme="minorHAnsi" w:eastAsia="MS Mincho" w:hAnsiTheme="minorHAnsi" w:cs="Times New Roman"/>
          <w:sz w:val="22"/>
          <w:szCs w:val="22"/>
        </w:rPr>
        <w:t xml:space="preserve"> </w:t>
      </w:r>
      <w:r w:rsidR="0070502B" w:rsidRPr="00A16353">
        <w:rPr>
          <w:rFonts w:asciiTheme="minorHAnsi" w:eastAsia="MS Mincho" w:hAnsiTheme="minorHAnsi" w:cs="Times New Roman"/>
          <w:sz w:val="22"/>
          <w:szCs w:val="22"/>
        </w:rPr>
        <w:t>We are interested in how people are getting along financially these days.  Would you say that you, and any family members living with you, are better off financially than you were a year ago, worse off financially than you were a year ago, or about the same?</w:t>
      </w:r>
    </w:p>
    <w:p w:rsidR="0070502B" w:rsidRPr="00A16353" w:rsidRDefault="0070502B" w:rsidP="009E29D4">
      <w:pPr>
        <w:pStyle w:val="PlainText"/>
        <w:ind w:left="360"/>
        <w:jc w:val="both"/>
        <w:rPr>
          <w:rFonts w:asciiTheme="minorHAnsi" w:eastAsia="MS Mincho" w:hAnsiTheme="minorHAnsi" w:cs="Times New Roman"/>
          <w:sz w:val="22"/>
          <w:szCs w:val="22"/>
        </w:rPr>
      </w:pPr>
    </w:p>
    <w:p w:rsidR="0070502B" w:rsidRPr="00A16353" w:rsidRDefault="002E038E" w:rsidP="009E29D4">
      <w:pPr>
        <w:pStyle w:val="PlainText"/>
        <w:numPr>
          <w:ilvl w:val="0"/>
          <w:numId w:val="1"/>
        </w:numPr>
        <w:jc w:val="both"/>
        <w:rPr>
          <w:rFonts w:asciiTheme="minorHAnsi" w:eastAsia="MS Mincho" w:hAnsiTheme="minorHAnsi" w:cs="Times New Roman"/>
          <w:sz w:val="22"/>
          <w:szCs w:val="22"/>
        </w:rPr>
      </w:pPr>
      <w:r w:rsidRPr="002E038E">
        <w:rPr>
          <w:rFonts w:asciiTheme="minorHAnsi" w:eastAsia="MS Mincho" w:hAnsiTheme="minorHAnsi" w:cs="Times New Roman"/>
          <w:b/>
          <w:sz w:val="22"/>
          <w:szCs w:val="22"/>
        </w:rPr>
        <w:t>[F]</w:t>
      </w:r>
      <w:r>
        <w:rPr>
          <w:rFonts w:asciiTheme="minorHAnsi" w:eastAsia="MS Mincho" w:hAnsiTheme="minorHAnsi" w:cs="Times New Roman"/>
          <w:sz w:val="22"/>
          <w:szCs w:val="22"/>
        </w:rPr>
        <w:t xml:space="preserve"> </w:t>
      </w:r>
      <w:r w:rsidR="0070502B" w:rsidRPr="00A16353">
        <w:rPr>
          <w:rFonts w:asciiTheme="minorHAnsi" w:eastAsia="MS Mincho" w:hAnsiTheme="minorHAnsi" w:cs="Times New Roman"/>
          <w:sz w:val="22"/>
          <w:szCs w:val="22"/>
        </w:rPr>
        <w:t>Now looking ahead, do you think that 12 months from now you, and any family members living with you, will be better off financially, worse off financially, or about the same?</w:t>
      </w:r>
    </w:p>
    <w:p w:rsidR="0070502B" w:rsidRPr="00A16353" w:rsidRDefault="0070502B" w:rsidP="009E29D4">
      <w:pPr>
        <w:pStyle w:val="PlainText"/>
        <w:jc w:val="both"/>
        <w:rPr>
          <w:rFonts w:asciiTheme="minorHAnsi" w:eastAsia="MS Mincho" w:hAnsiTheme="minorHAnsi" w:cs="Times New Roman"/>
          <w:sz w:val="22"/>
          <w:szCs w:val="22"/>
        </w:rPr>
      </w:pPr>
    </w:p>
    <w:p w:rsidR="0070502B" w:rsidRPr="00A16353" w:rsidRDefault="002E038E" w:rsidP="009E29D4">
      <w:pPr>
        <w:pStyle w:val="PlainText"/>
        <w:numPr>
          <w:ilvl w:val="0"/>
          <w:numId w:val="1"/>
        </w:numPr>
        <w:jc w:val="both"/>
        <w:rPr>
          <w:rFonts w:asciiTheme="minorHAnsi" w:eastAsia="MS Mincho" w:hAnsiTheme="minorHAnsi" w:cs="Times New Roman"/>
          <w:sz w:val="22"/>
          <w:szCs w:val="22"/>
        </w:rPr>
      </w:pPr>
      <w:r w:rsidRPr="002E038E">
        <w:rPr>
          <w:rFonts w:asciiTheme="minorHAnsi" w:eastAsia="MS Mincho" w:hAnsiTheme="minorHAnsi" w:cs="Times New Roman"/>
          <w:b/>
          <w:sz w:val="22"/>
          <w:szCs w:val="22"/>
        </w:rPr>
        <w:t>[P]</w:t>
      </w:r>
      <w:r>
        <w:rPr>
          <w:rFonts w:asciiTheme="minorHAnsi" w:eastAsia="MS Mincho" w:hAnsiTheme="minorHAnsi" w:cs="Times New Roman"/>
          <w:sz w:val="22"/>
          <w:szCs w:val="22"/>
        </w:rPr>
        <w:t xml:space="preserve"> </w:t>
      </w:r>
      <w:r w:rsidR="0070502B" w:rsidRPr="00A16353">
        <w:rPr>
          <w:rFonts w:asciiTheme="minorHAnsi" w:eastAsia="MS Mincho" w:hAnsiTheme="minorHAnsi" w:cs="Times New Roman"/>
          <w:sz w:val="22"/>
          <w:szCs w:val="22"/>
        </w:rPr>
        <w:t>About the big things people buy for their homes -- such as furniture, a refrigerator, stove, television, and things like that, generally speaking, do you think now is a good time for people to buy major household items, a bad time, or somewhere in between?</w:t>
      </w:r>
    </w:p>
    <w:p w:rsidR="0070502B" w:rsidRPr="00A16353" w:rsidRDefault="0070502B" w:rsidP="009E29D4">
      <w:pPr>
        <w:pStyle w:val="PlainText"/>
        <w:ind w:left="360"/>
        <w:jc w:val="both"/>
        <w:rPr>
          <w:rFonts w:asciiTheme="minorHAnsi" w:eastAsia="MS Mincho" w:hAnsiTheme="minorHAnsi" w:cs="Times New Roman"/>
          <w:sz w:val="22"/>
          <w:szCs w:val="22"/>
        </w:rPr>
      </w:pPr>
    </w:p>
    <w:p w:rsidR="0070502B" w:rsidRPr="00A16353" w:rsidRDefault="002E038E" w:rsidP="009E29D4">
      <w:pPr>
        <w:pStyle w:val="PlainText"/>
        <w:numPr>
          <w:ilvl w:val="0"/>
          <w:numId w:val="1"/>
        </w:numPr>
        <w:jc w:val="both"/>
        <w:rPr>
          <w:rFonts w:asciiTheme="minorHAnsi" w:eastAsia="MS Mincho" w:hAnsiTheme="minorHAnsi" w:cs="Times New Roman"/>
          <w:sz w:val="22"/>
          <w:szCs w:val="22"/>
        </w:rPr>
      </w:pPr>
      <w:r w:rsidRPr="002E038E">
        <w:rPr>
          <w:rFonts w:asciiTheme="minorHAnsi" w:eastAsia="MS Mincho" w:hAnsiTheme="minorHAnsi" w:cs="Times New Roman"/>
          <w:b/>
          <w:sz w:val="22"/>
          <w:szCs w:val="22"/>
        </w:rPr>
        <w:t>[P]</w:t>
      </w:r>
      <w:r>
        <w:rPr>
          <w:rFonts w:asciiTheme="minorHAnsi" w:eastAsia="MS Mincho" w:hAnsiTheme="minorHAnsi" w:cs="Times New Roman"/>
          <w:sz w:val="22"/>
          <w:szCs w:val="22"/>
        </w:rPr>
        <w:t xml:space="preserve"> </w:t>
      </w:r>
      <w:r w:rsidR="0070502B" w:rsidRPr="00A16353">
        <w:rPr>
          <w:rFonts w:asciiTheme="minorHAnsi" w:eastAsia="MS Mincho" w:hAnsiTheme="minorHAnsi" w:cs="Times New Roman"/>
          <w:sz w:val="22"/>
          <w:szCs w:val="22"/>
        </w:rPr>
        <w:t>How about buying a house?  Is now a good time to buy a house, a bad time to buy a house, or somewhere in between?</w:t>
      </w:r>
    </w:p>
    <w:p w:rsidR="0070502B" w:rsidRPr="00A16353" w:rsidRDefault="0070502B" w:rsidP="009E29D4">
      <w:pPr>
        <w:pStyle w:val="PlainText"/>
        <w:ind w:left="360"/>
        <w:jc w:val="both"/>
        <w:rPr>
          <w:rFonts w:asciiTheme="minorHAnsi" w:eastAsia="MS Mincho" w:hAnsiTheme="minorHAnsi" w:cs="Times New Roman"/>
          <w:sz w:val="22"/>
          <w:szCs w:val="22"/>
        </w:rPr>
      </w:pPr>
    </w:p>
    <w:p w:rsidR="000C3180" w:rsidRPr="00A16353" w:rsidRDefault="0070502B" w:rsidP="00F9126F">
      <w:pPr>
        <w:pStyle w:val="PlainText"/>
        <w:ind w:left="720" w:hanging="360"/>
        <w:jc w:val="both"/>
        <w:rPr>
          <w:rFonts w:asciiTheme="minorHAnsi" w:eastAsia="MS Mincho" w:hAnsiTheme="minorHAnsi" w:cs="Times New Roman"/>
          <w:sz w:val="22"/>
          <w:szCs w:val="22"/>
        </w:rPr>
      </w:pPr>
      <w:r w:rsidRPr="00A16353">
        <w:rPr>
          <w:rFonts w:asciiTheme="minorHAnsi" w:eastAsia="MS Mincho" w:hAnsiTheme="minorHAnsi" w:cs="Times New Roman"/>
          <w:sz w:val="22"/>
          <w:szCs w:val="22"/>
        </w:rPr>
        <w:t xml:space="preserve">11. </w:t>
      </w:r>
      <w:r w:rsidR="002E038E" w:rsidRPr="002E038E">
        <w:rPr>
          <w:rFonts w:asciiTheme="minorHAnsi" w:eastAsia="MS Mincho" w:hAnsiTheme="minorHAnsi" w:cs="Times New Roman"/>
          <w:b/>
          <w:sz w:val="22"/>
          <w:szCs w:val="22"/>
        </w:rPr>
        <w:t>[P]</w:t>
      </w:r>
      <w:r w:rsidR="002E038E">
        <w:rPr>
          <w:rFonts w:asciiTheme="minorHAnsi" w:eastAsia="MS Mincho" w:hAnsiTheme="minorHAnsi" w:cs="Times New Roman"/>
          <w:sz w:val="22"/>
          <w:szCs w:val="22"/>
        </w:rPr>
        <w:t xml:space="preserve"> </w:t>
      </w:r>
      <w:r w:rsidRPr="00A16353">
        <w:rPr>
          <w:rFonts w:asciiTheme="minorHAnsi" w:eastAsia="MS Mincho" w:hAnsiTheme="minorHAnsi" w:cs="Times New Roman"/>
          <w:sz w:val="22"/>
          <w:szCs w:val="22"/>
        </w:rPr>
        <w:t>How about buying a car?  Is now a good time to buy a car, a bad time to buy a car, or somewhere in between?</w:t>
      </w:r>
    </w:p>
    <w:p w:rsidR="008F3A00" w:rsidRDefault="008F3A00" w:rsidP="00497900">
      <w:pPr>
        <w:rPr>
          <w:rFonts w:eastAsia="MS Mincho"/>
        </w:rPr>
      </w:pPr>
    </w:p>
    <w:p w:rsidR="008F3A00" w:rsidRDefault="008F3A00" w:rsidP="00497900">
      <w:pPr>
        <w:rPr>
          <w:rFonts w:eastAsia="MS Mincho"/>
        </w:rPr>
      </w:pPr>
    </w:p>
    <w:p w:rsidR="00492AE3" w:rsidRDefault="00492AE3" w:rsidP="00497900">
      <w:pPr>
        <w:rPr>
          <w:rFonts w:eastAsia="MS Mincho"/>
        </w:rPr>
        <w:sectPr w:rsidR="00492AE3" w:rsidSect="00ED7F2F">
          <w:headerReference w:type="default" r:id="rId18"/>
          <w:footerReference w:type="even" r:id="rId19"/>
          <w:footerReference w:type="default" r:id="rId20"/>
          <w:pgSz w:w="12240" w:h="15840"/>
          <w:pgMar w:top="1296" w:right="1800" w:bottom="1152" w:left="1800" w:header="720" w:footer="720" w:gutter="0"/>
          <w:cols w:space="720"/>
          <w:docGrid w:linePitch="360"/>
        </w:sectPr>
      </w:pPr>
    </w:p>
    <w:p w:rsidR="008F3A00" w:rsidRPr="00606606" w:rsidRDefault="00B06511" w:rsidP="00B06511">
      <w:pPr>
        <w:jc w:val="center"/>
        <w:rPr>
          <w:rFonts w:asciiTheme="minorHAnsi" w:eastAsia="MS Mincho" w:hAnsiTheme="minorHAnsi"/>
          <w:b/>
          <w:sz w:val="36"/>
          <w:szCs w:val="36"/>
        </w:rPr>
      </w:pPr>
      <w:r w:rsidRPr="00606606">
        <w:rPr>
          <w:rFonts w:asciiTheme="minorHAnsi" w:eastAsia="MS Mincho" w:hAnsiTheme="minorHAnsi"/>
          <w:b/>
          <w:sz w:val="36"/>
          <w:szCs w:val="36"/>
        </w:rPr>
        <w:lastRenderedPageBreak/>
        <w:t xml:space="preserve">Middle Tennessee Consumer </w:t>
      </w:r>
      <w:r w:rsidR="00A07B8D">
        <w:rPr>
          <w:rFonts w:asciiTheme="minorHAnsi" w:eastAsia="MS Mincho" w:hAnsiTheme="minorHAnsi"/>
          <w:b/>
          <w:sz w:val="36"/>
          <w:szCs w:val="36"/>
        </w:rPr>
        <w:t>Outlook</w:t>
      </w:r>
      <w:r w:rsidRPr="00606606">
        <w:rPr>
          <w:rFonts w:asciiTheme="minorHAnsi" w:eastAsia="MS Mincho" w:hAnsiTheme="minorHAnsi"/>
          <w:b/>
          <w:sz w:val="36"/>
          <w:szCs w:val="36"/>
        </w:rPr>
        <w:t xml:space="preserve"> Index</w:t>
      </w:r>
    </w:p>
    <w:p w:rsidR="008F3A00" w:rsidRDefault="008F3A00" w:rsidP="00497900">
      <w:pPr>
        <w:rPr>
          <w:rFonts w:eastAsia="MS Mincho"/>
        </w:rPr>
      </w:pPr>
    </w:p>
    <w:p w:rsidR="008F3A00" w:rsidRDefault="008F3A00" w:rsidP="00497900">
      <w:pPr>
        <w:rPr>
          <w:rFonts w:eastAsia="MS Mincho"/>
        </w:rPr>
      </w:pPr>
    </w:p>
    <w:p w:rsidR="00497900" w:rsidRDefault="000B083F" w:rsidP="00606606">
      <w:pPr>
        <w:jc w:val="center"/>
        <w:rPr>
          <w:rFonts w:eastAsia="MS Mincho"/>
        </w:rPr>
      </w:pPr>
      <w:r>
        <w:rPr>
          <w:rFonts w:eastAsia="MS Mincho"/>
          <w:noProof/>
        </w:rPr>
        <w:drawing>
          <wp:inline distT="0" distB="0" distL="0" distR="0">
            <wp:extent cx="8489950" cy="4711700"/>
            <wp:effectExtent l="0" t="0" r="63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sectPr w:rsidR="00497900" w:rsidSect="00B06511">
      <w:pgSz w:w="15840" w:h="12240" w:orient="landscape"/>
      <w:pgMar w:top="1800" w:right="1296" w:bottom="180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332" w:rsidRDefault="006F7332">
      <w:r>
        <w:separator/>
      </w:r>
    </w:p>
  </w:endnote>
  <w:endnote w:type="continuationSeparator" w:id="0">
    <w:p w:rsidR="006F7332" w:rsidRDefault="006F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D71" w:rsidRDefault="00AB5D71" w:rsidP="00177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5D71" w:rsidRDefault="00AB5D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AB5D71">
      <w:tc>
        <w:tcPr>
          <w:tcW w:w="918" w:type="dxa"/>
        </w:tcPr>
        <w:p w:rsidR="00AB5D71" w:rsidRDefault="00AB5D71">
          <w:pPr>
            <w:pStyle w:val="Footer"/>
            <w:jc w:val="right"/>
            <w:rPr>
              <w:b/>
              <w:color w:val="4F81BD" w:themeColor="accent1"/>
              <w:sz w:val="32"/>
              <w:szCs w:val="32"/>
            </w:rPr>
          </w:pPr>
          <w:r>
            <w:fldChar w:fldCharType="begin"/>
          </w:r>
          <w:r>
            <w:instrText xml:space="preserve"> PAGE   \* MERGEFORMAT </w:instrText>
          </w:r>
          <w:r>
            <w:fldChar w:fldCharType="separate"/>
          </w:r>
          <w:r w:rsidR="00CC1B83" w:rsidRPr="00CC1B83">
            <w:rPr>
              <w:b/>
              <w:noProof/>
              <w:color w:val="4F81BD" w:themeColor="accent1"/>
              <w:sz w:val="32"/>
              <w:szCs w:val="32"/>
            </w:rPr>
            <w:t>2</w:t>
          </w:r>
          <w:r>
            <w:rPr>
              <w:b/>
              <w:noProof/>
              <w:color w:val="4F81BD" w:themeColor="accent1"/>
              <w:sz w:val="32"/>
              <w:szCs w:val="32"/>
            </w:rPr>
            <w:fldChar w:fldCharType="end"/>
          </w:r>
        </w:p>
      </w:tc>
      <w:tc>
        <w:tcPr>
          <w:tcW w:w="7938" w:type="dxa"/>
        </w:tcPr>
        <w:p w:rsidR="00AB5D71" w:rsidRPr="00EB2F31" w:rsidRDefault="00AB5D71" w:rsidP="00182CC7">
          <w:pPr>
            <w:pStyle w:val="Footer"/>
            <w:rPr>
              <w:rFonts w:asciiTheme="minorHAnsi" w:hAnsiTheme="minorHAnsi"/>
            </w:rPr>
          </w:pPr>
          <w:r w:rsidRPr="00EB2F31">
            <w:rPr>
              <w:rFonts w:asciiTheme="minorHAnsi" w:hAnsiTheme="minorHAnsi"/>
            </w:rPr>
            <w:t xml:space="preserve">Office of Consumer Research, Middle Tennessee State University: </w:t>
          </w:r>
          <w:r w:rsidRPr="00EB2F31">
            <w:rPr>
              <w:rFonts w:asciiTheme="minorHAnsi" w:hAnsiTheme="minorHAnsi"/>
              <w:u w:val="single"/>
            </w:rPr>
            <w:t>www.mtsu.edu/consumer</w:t>
          </w:r>
        </w:p>
      </w:tc>
    </w:tr>
  </w:tbl>
  <w:p w:rsidR="00AB5D71" w:rsidRDefault="00AB5D71" w:rsidP="00E17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332" w:rsidRDefault="006F7332">
      <w:r>
        <w:separator/>
      </w:r>
    </w:p>
  </w:footnote>
  <w:footnote w:type="continuationSeparator" w:id="0">
    <w:p w:rsidR="006F7332" w:rsidRDefault="006F7332">
      <w:r>
        <w:continuationSeparator/>
      </w:r>
    </w:p>
  </w:footnote>
  <w:footnote w:id="1">
    <w:p w:rsidR="00AB5D71" w:rsidRDefault="00AB5D71" w:rsidP="00F863C8">
      <w:pPr>
        <w:pStyle w:val="FootnoteText"/>
        <w:rPr>
          <w:rFonts w:asciiTheme="minorHAnsi" w:hAnsiTheme="minorHAnsi"/>
        </w:rPr>
      </w:pPr>
      <w:r w:rsidRPr="00A16353">
        <w:rPr>
          <w:rStyle w:val="FootnoteReference"/>
          <w:rFonts w:asciiTheme="minorHAnsi" w:hAnsiTheme="minorHAnsi"/>
        </w:rPr>
        <w:footnoteRef/>
      </w:r>
      <w:r w:rsidRPr="00A16353">
        <w:rPr>
          <w:rFonts w:asciiTheme="minorHAnsi" w:hAnsiTheme="minorHAnsi"/>
        </w:rPr>
        <w:t xml:space="preserve"> The score is computed by adding the percentage of favorable responses to each question and </w:t>
      </w:r>
      <w:r>
        <w:rPr>
          <w:rFonts w:asciiTheme="minorHAnsi" w:hAnsiTheme="minorHAnsi"/>
        </w:rPr>
        <w:t>s</w:t>
      </w:r>
      <w:r w:rsidRPr="00A16353">
        <w:rPr>
          <w:rFonts w:asciiTheme="minorHAnsi" w:hAnsiTheme="minorHAnsi"/>
        </w:rPr>
        <w:t xml:space="preserve">ubtracting the percentage of negative responses to each question.  </w:t>
      </w:r>
    </w:p>
    <w:p w:rsidR="00AB5D71" w:rsidRPr="00A16353" w:rsidRDefault="00AB5D71" w:rsidP="00F863C8">
      <w:pPr>
        <w:pStyle w:val="FootnoteText"/>
        <w:rPr>
          <w:rFonts w:asciiTheme="minorHAnsi" w:hAnsiTheme="minorHAnsi"/>
        </w:rPr>
      </w:pPr>
    </w:p>
  </w:footnote>
  <w:footnote w:id="2">
    <w:p w:rsidR="00AB5D71" w:rsidRPr="006558E4" w:rsidRDefault="00AB5D71" w:rsidP="00D75CD8">
      <w:pPr>
        <w:pStyle w:val="BodyText"/>
        <w:jc w:val="both"/>
        <w:rPr>
          <w:rFonts w:asciiTheme="minorHAnsi" w:hAnsiTheme="minorHAnsi"/>
          <w:bCs/>
          <w:sz w:val="18"/>
          <w:szCs w:val="18"/>
        </w:rPr>
      </w:pPr>
      <w:r w:rsidRPr="006558E4">
        <w:rPr>
          <w:rStyle w:val="FootnoteReference"/>
          <w:sz w:val="18"/>
          <w:szCs w:val="18"/>
        </w:rPr>
        <w:footnoteRef/>
      </w:r>
      <w:r w:rsidRPr="006558E4">
        <w:rPr>
          <w:sz w:val="18"/>
          <w:szCs w:val="18"/>
        </w:rPr>
        <w:t xml:space="preserve"> </w:t>
      </w:r>
      <w:r w:rsidRPr="006558E4">
        <w:rPr>
          <w:rFonts w:asciiTheme="minorHAnsi" w:hAnsiTheme="minorHAnsi"/>
          <w:bCs/>
          <w:sz w:val="18"/>
          <w:szCs w:val="18"/>
        </w:rPr>
        <w:t xml:space="preserve">The consumer outlook index scores are based on consumers’ responses to eleven questions measuring their perceptions of the current economy, the future economy, jobs, personal finances, and whether or not now is a good time to make large purchases.  Four questions make up the current situation index, four questions make up the future expectations index, and three questions make up the purchasing index.  The overall outlook index is based on all eleven questions combined (the complete questions are shown at the end of this report).  </w:t>
      </w:r>
    </w:p>
    <w:p w:rsidR="00AB5D71" w:rsidRPr="006558E4" w:rsidRDefault="00AB5D71" w:rsidP="00D75CD8">
      <w:pPr>
        <w:pStyle w:val="BodyText"/>
        <w:jc w:val="both"/>
        <w:rPr>
          <w:rFonts w:asciiTheme="minorHAnsi" w:hAnsiTheme="minorHAnsi"/>
          <w:bCs/>
          <w:sz w:val="18"/>
          <w:szCs w:val="18"/>
        </w:rPr>
      </w:pPr>
      <w:r w:rsidRPr="006558E4">
        <w:rPr>
          <w:rFonts w:asciiTheme="minorHAnsi" w:hAnsiTheme="minorHAnsi"/>
          <w:bCs/>
          <w:sz w:val="18"/>
          <w:szCs w:val="18"/>
        </w:rPr>
        <w:t xml:space="preserve">     The scores for each index are computed by </w:t>
      </w:r>
      <w:r w:rsidRPr="006558E4">
        <w:rPr>
          <w:rFonts w:asciiTheme="minorHAnsi" w:hAnsiTheme="minorHAnsi"/>
          <w:sz w:val="18"/>
          <w:szCs w:val="18"/>
        </w:rPr>
        <w:t xml:space="preserve">adding the percentage of favorable responses to each question and subtracting the percentage of negative responses to each question.  </w:t>
      </w:r>
      <w:r w:rsidRPr="006558E4">
        <w:rPr>
          <w:rFonts w:asciiTheme="minorHAnsi" w:hAnsiTheme="minorHAnsi"/>
          <w:bCs/>
          <w:sz w:val="18"/>
          <w:szCs w:val="18"/>
        </w:rPr>
        <w:t xml:space="preserve">A net score of zero would indicate that the percentage of consumers who hold negative views of the economy is equal to the percentage of consumers who hold positive views of the economy.  A net positive score would indicate that consumers who hold positive views of the economy outnumber those who hold negative views of the economy. </w:t>
      </w:r>
    </w:p>
    <w:p w:rsidR="00AB5D71" w:rsidRDefault="00AB5D71">
      <w:pPr>
        <w:pStyle w:val="FootnoteText"/>
      </w:pPr>
    </w:p>
  </w:footnote>
  <w:footnote w:id="3">
    <w:p w:rsidR="00AB5D71" w:rsidRDefault="00AB5D71" w:rsidP="00915403">
      <w:pPr>
        <w:pStyle w:val="FootnoteText"/>
        <w:rPr>
          <w:rFonts w:asciiTheme="minorHAnsi" w:hAnsiTheme="minorHAnsi"/>
        </w:rPr>
      </w:pPr>
      <w:r w:rsidRPr="00A16353">
        <w:rPr>
          <w:rStyle w:val="FootnoteReference"/>
          <w:rFonts w:asciiTheme="minorHAnsi" w:hAnsiTheme="minorHAnsi"/>
        </w:rPr>
        <w:footnoteRef/>
      </w:r>
      <w:r w:rsidRPr="00A16353">
        <w:rPr>
          <w:rFonts w:asciiTheme="minorHAnsi" w:hAnsiTheme="minorHAnsi"/>
        </w:rPr>
        <w:t xml:space="preserve"> Source: </w:t>
      </w:r>
      <w:r>
        <w:rPr>
          <w:rFonts w:asciiTheme="minorHAnsi" w:hAnsiTheme="minorHAnsi"/>
        </w:rPr>
        <w:t xml:space="preserve">August 26, 2014, The Conference Board Consumer Confidence Index® Improves Again.”  </w:t>
      </w:r>
      <w:r w:rsidRPr="00A16353">
        <w:rPr>
          <w:rFonts w:asciiTheme="minorHAnsi" w:hAnsiTheme="minorHAnsi"/>
        </w:rPr>
        <w:t>(</w:t>
      </w:r>
      <w:hyperlink r:id="rId1" w:history="1">
        <w:r w:rsidRPr="00A16353">
          <w:rPr>
            <w:rStyle w:val="Hyperlink"/>
            <w:rFonts w:asciiTheme="minorHAnsi" w:hAnsiTheme="minorHAnsi"/>
          </w:rPr>
          <w:t>www.conference-board.org</w:t>
        </w:r>
      </w:hyperlink>
      <w:r w:rsidRPr="00A16353">
        <w:rPr>
          <w:rFonts w:asciiTheme="minorHAnsi" w:hAnsiTheme="minorHAnsi"/>
        </w:rPr>
        <w:t xml:space="preserve">).   </w:t>
      </w:r>
    </w:p>
    <w:p w:rsidR="00AB5D71" w:rsidRPr="00A16353" w:rsidRDefault="00AB5D71" w:rsidP="00915403">
      <w:pPr>
        <w:pStyle w:val="FootnoteText"/>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955"/>
      <w:gridCol w:w="1915"/>
    </w:tblGrid>
    <w:tr w:rsidR="00AB5D71" w:rsidTr="00182CC7">
      <w:trPr>
        <w:trHeight w:val="288"/>
      </w:trPr>
      <w:tc>
        <w:tcPr>
          <w:tcW w:w="6955" w:type="dxa"/>
        </w:tcPr>
        <w:p w:rsidR="00AB5D71" w:rsidRPr="00EB2F31" w:rsidRDefault="00AB5D71" w:rsidP="00F863C8">
          <w:pPr>
            <w:pStyle w:val="Header"/>
            <w:jc w:val="right"/>
            <w:rPr>
              <w:rFonts w:asciiTheme="majorHAnsi" w:eastAsiaTheme="majorEastAsia" w:hAnsiTheme="majorHAnsi" w:cstheme="majorBidi"/>
              <w:sz w:val="24"/>
              <w:szCs w:val="24"/>
            </w:rPr>
          </w:pPr>
          <w:r w:rsidRPr="00EB2F31">
            <w:rPr>
              <w:rFonts w:asciiTheme="minorHAnsi" w:eastAsiaTheme="majorEastAsia" w:hAnsiTheme="minorHAnsi" w:cstheme="majorBidi"/>
            </w:rPr>
            <w:t xml:space="preserve">Middle Tennessee Consumer </w:t>
          </w:r>
          <w:r>
            <w:rPr>
              <w:rFonts w:asciiTheme="minorHAnsi" w:eastAsiaTheme="majorEastAsia" w:hAnsiTheme="minorHAnsi" w:cstheme="majorBidi"/>
            </w:rPr>
            <w:t xml:space="preserve">Outlook </w:t>
          </w:r>
          <w:r w:rsidRPr="00EB2F31">
            <w:rPr>
              <w:rFonts w:asciiTheme="minorHAnsi" w:eastAsiaTheme="majorEastAsia" w:hAnsiTheme="minorHAnsi" w:cstheme="majorBidi"/>
            </w:rPr>
            <w:t xml:space="preserve">Index     </w:t>
          </w:r>
          <w:r>
            <w:rPr>
              <w:rFonts w:asciiTheme="minorHAnsi" w:eastAsiaTheme="majorEastAsia" w:hAnsiTheme="minorHAnsi" w:cstheme="majorBidi"/>
            </w:rPr>
            <w:t xml:space="preserve">September  </w:t>
          </w:r>
        </w:p>
      </w:tc>
      <w:tc>
        <w:tcPr>
          <w:tcW w:w="1915" w:type="dxa"/>
        </w:tcPr>
        <w:p w:rsidR="00AB5D71" w:rsidRPr="00EB2F31" w:rsidRDefault="00AB5D71" w:rsidP="004C6631">
          <w:pPr>
            <w:pStyle w:val="Header"/>
            <w:rPr>
              <w:rFonts w:asciiTheme="majorHAnsi" w:eastAsiaTheme="majorEastAsia" w:hAnsiTheme="majorHAnsi" w:cstheme="majorBidi"/>
              <w:b/>
              <w:bCs/>
            </w:rPr>
          </w:pPr>
          <w:r>
            <w:rPr>
              <w:rFonts w:asciiTheme="minorHAnsi" w:eastAsiaTheme="majorEastAsia" w:hAnsiTheme="minorHAnsi" w:cstheme="majorBidi"/>
              <w:b/>
              <w:bCs/>
            </w:rPr>
            <w:t>2014</w:t>
          </w:r>
        </w:p>
      </w:tc>
    </w:tr>
  </w:tbl>
  <w:p w:rsidR="00AB5D71" w:rsidRDefault="00AB5D71" w:rsidP="00E1772C">
    <w:pPr>
      <w:pStyle w:val="Header"/>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064"/>
    <w:multiLevelType w:val="hybridMultilevel"/>
    <w:tmpl w:val="009E1BF2"/>
    <w:lvl w:ilvl="0" w:tplc="2B8E4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426DA"/>
    <w:multiLevelType w:val="hybridMultilevel"/>
    <w:tmpl w:val="44221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072311"/>
    <w:multiLevelType w:val="hybridMultilevel"/>
    <w:tmpl w:val="0FE0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D96488"/>
    <w:multiLevelType w:val="hybridMultilevel"/>
    <w:tmpl w:val="0424485E"/>
    <w:lvl w:ilvl="0" w:tplc="3D8215D0">
      <w:start w:val="1"/>
      <w:numFmt w:val="bullet"/>
      <w:lvlText w:val=""/>
      <w:lvlJc w:val="left"/>
      <w:pPr>
        <w:tabs>
          <w:tab w:val="num" w:pos="432"/>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EF2228"/>
    <w:multiLevelType w:val="hybridMultilevel"/>
    <w:tmpl w:val="21005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94"/>
    <w:rsid w:val="000007A5"/>
    <w:rsid w:val="00000F4F"/>
    <w:rsid w:val="00003A2D"/>
    <w:rsid w:val="000040E0"/>
    <w:rsid w:val="000072AD"/>
    <w:rsid w:val="00011F2B"/>
    <w:rsid w:val="00012DA4"/>
    <w:rsid w:val="0001315C"/>
    <w:rsid w:val="000137F6"/>
    <w:rsid w:val="000145A3"/>
    <w:rsid w:val="000150C9"/>
    <w:rsid w:val="00017ACF"/>
    <w:rsid w:val="0002229B"/>
    <w:rsid w:val="000227B0"/>
    <w:rsid w:val="00024521"/>
    <w:rsid w:val="00025EB6"/>
    <w:rsid w:val="000261F7"/>
    <w:rsid w:val="00031593"/>
    <w:rsid w:val="00032652"/>
    <w:rsid w:val="00033A45"/>
    <w:rsid w:val="0003400E"/>
    <w:rsid w:val="00036116"/>
    <w:rsid w:val="000371C0"/>
    <w:rsid w:val="00042E6D"/>
    <w:rsid w:val="000463D3"/>
    <w:rsid w:val="00051233"/>
    <w:rsid w:val="0005599C"/>
    <w:rsid w:val="00055B65"/>
    <w:rsid w:val="00056DC6"/>
    <w:rsid w:val="000570D2"/>
    <w:rsid w:val="00057488"/>
    <w:rsid w:val="00057F34"/>
    <w:rsid w:val="00060E48"/>
    <w:rsid w:val="00061B06"/>
    <w:rsid w:val="00067160"/>
    <w:rsid w:val="00067D56"/>
    <w:rsid w:val="00071D4A"/>
    <w:rsid w:val="00072761"/>
    <w:rsid w:val="00073B05"/>
    <w:rsid w:val="00075D28"/>
    <w:rsid w:val="000772F2"/>
    <w:rsid w:val="0007741E"/>
    <w:rsid w:val="00077997"/>
    <w:rsid w:val="00081507"/>
    <w:rsid w:val="000824E1"/>
    <w:rsid w:val="0008282D"/>
    <w:rsid w:val="00082E56"/>
    <w:rsid w:val="000870DA"/>
    <w:rsid w:val="0009131D"/>
    <w:rsid w:val="00091F2E"/>
    <w:rsid w:val="00092E33"/>
    <w:rsid w:val="000955D5"/>
    <w:rsid w:val="0009562A"/>
    <w:rsid w:val="00096506"/>
    <w:rsid w:val="000A12F3"/>
    <w:rsid w:val="000A1496"/>
    <w:rsid w:val="000A32D9"/>
    <w:rsid w:val="000A4BFC"/>
    <w:rsid w:val="000A7511"/>
    <w:rsid w:val="000B083F"/>
    <w:rsid w:val="000B1534"/>
    <w:rsid w:val="000B497B"/>
    <w:rsid w:val="000B4B84"/>
    <w:rsid w:val="000B4FBA"/>
    <w:rsid w:val="000B5FFA"/>
    <w:rsid w:val="000C179A"/>
    <w:rsid w:val="000C3180"/>
    <w:rsid w:val="000C44B8"/>
    <w:rsid w:val="000C5247"/>
    <w:rsid w:val="000C7BA4"/>
    <w:rsid w:val="000D09DE"/>
    <w:rsid w:val="000D12D0"/>
    <w:rsid w:val="000D419E"/>
    <w:rsid w:val="000E2219"/>
    <w:rsid w:val="000E2578"/>
    <w:rsid w:val="000E34D4"/>
    <w:rsid w:val="000E3961"/>
    <w:rsid w:val="000E4447"/>
    <w:rsid w:val="000E4704"/>
    <w:rsid w:val="000E5D29"/>
    <w:rsid w:val="000E614E"/>
    <w:rsid w:val="000F047A"/>
    <w:rsid w:val="000F0990"/>
    <w:rsid w:val="000F2607"/>
    <w:rsid w:val="000F2E3D"/>
    <w:rsid w:val="000F3231"/>
    <w:rsid w:val="000F3DEC"/>
    <w:rsid w:val="000F4DBF"/>
    <w:rsid w:val="00101043"/>
    <w:rsid w:val="001029A1"/>
    <w:rsid w:val="001041CB"/>
    <w:rsid w:val="0010485D"/>
    <w:rsid w:val="00104CC5"/>
    <w:rsid w:val="00104F9F"/>
    <w:rsid w:val="00105183"/>
    <w:rsid w:val="00105937"/>
    <w:rsid w:val="00106BB1"/>
    <w:rsid w:val="00107B80"/>
    <w:rsid w:val="00112E8B"/>
    <w:rsid w:val="00113399"/>
    <w:rsid w:val="00113876"/>
    <w:rsid w:val="001142CF"/>
    <w:rsid w:val="00114F5D"/>
    <w:rsid w:val="00115386"/>
    <w:rsid w:val="00116738"/>
    <w:rsid w:val="001168FE"/>
    <w:rsid w:val="00116C15"/>
    <w:rsid w:val="00121BD3"/>
    <w:rsid w:val="00121FC3"/>
    <w:rsid w:val="00122342"/>
    <w:rsid w:val="00125541"/>
    <w:rsid w:val="001260DC"/>
    <w:rsid w:val="001266DE"/>
    <w:rsid w:val="00127E7A"/>
    <w:rsid w:val="00135090"/>
    <w:rsid w:val="00135989"/>
    <w:rsid w:val="00140EF4"/>
    <w:rsid w:val="00141231"/>
    <w:rsid w:val="001417F1"/>
    <w:rsid w:val="00144092"/>
    <w:rsid w:val="00145A12"/>
    <w:rsid w:val="00146F52"/>
    <w:rsid w:val="00147EDA"/>
    <w:rsid w:val="00150296"/>
    <w:rsid w:val="00150FC6"/>
    <w:rsid w:val="00154A7B"/>
    <w:rsid w:val="001560BE"/>
    <w:rsid w:val="00157A8B"/>
    <w:rsid w:val="001602C2"/>
    <w:rsid w:val="00160734"/>
    <w:rsid w:val="00161E62"/>
    <w:rsid w:val="00163A5A"/>
    <w:rsid w:val="00165924"/>
    <w:rsid w:val="00165C57"/>
    <w:rsid w:val="00170B01"/>
    <w:rsid w:val="00170B9A"/>
    <w:rsid w:val="00170D94"/>
    <w:rsid w:val="001725BA"/>
    <w:rsid w:val="00173458"/>
    <w:rsid w:val="00173882"/>
    <w:rsid w:val="0017454B"/>
    <w:rsid w:val="0017690B"/>
    <w:rsid w:val="001777FC"/>
    <w:rsid w:val="00177D7C"/>
    <w:rsid w:val="00182CC7"/>
    <w:rsid w:val="00184CC5"/>
    <w:rsid w:val="00185CB4"/>
    <w:rsid w:val="00190BE9"/>
    <w:rsid w:val="00192302"/>
    <w:rsid w:val="0019270C"/>
    <w:rsid w:val="001967C7"/>
    <w:rsid w:val="00197A8A"/>
    <w:rsid w:val="001A048A"/>
    <w:rsid w:val="001A19B2"/>
    <w:rsid w:val="001A1A56"/>
    <w:rsid w:val="001A22D8"/>
    <w:rsid w:val="001A3286"/>
    <w:rsid w:val="001A46E5"/>
    <w:rsid w:val="001A63D0"/>
    <w:rsid w:val="001B108C"/>
    <w:rsid w:val="001B1C3E"/>
    <w:rsid w:val="001B3DE5"/>
    <w:rsid w:val="001B40C9"/>
    <w:rsid w:val="001B6BCD"/>
    <w:rsid w:val="001C030A"/>
    <w:rsid w:val="001C1215"/>
    <w:rsid w:val="001C1DCC"/>
    <w:rsid w:val="001C4EB7"/>
    <w:rsid w:val="001C5388"/>
    <w:rsid w:val="001C6BB5"/>
    <w:rsid w:val="001D059A"/>
    <w:rsid w:val="001D182F"/>
    <w:rsid w:val="001D3539"/>
    <w:rsid w:val="001D574E"/>
    <w:rsid w:val="001D6128"/>
    <w:rsid w:val="001D714E"/>
    <w:rsid w:val="001E06A1"/>
    <w:rsid w:val="001E1FB6"/>
    <w:rsid w:val="001E2C62"/>
    <w:rsid w:val="001E2D42"/>
    <w:rsid w:val="001E3128"/>
    <w:rsid w:val="001E3199"/>
    <w:rsid w:val="001E79CE"/>
    <w:rsid w:val="001E7C74"/>
    <w:rsid w:val="001F284E"/>
    <w:rsid w:val="001F4354"/>
    <w:rsid w:val="001F5301"/>
    <w:rsid w:val="001F5A0D"/>
    <w:rsid w:val="001F5C7F"/>
    <w:rsid w:val="001F686D"/>
    <w:rsid w:val="001F7ED1"/>
    <w:rsid w:val="002042C2"/>
    <w:rsid w:val="00205F22"/>
    <w:rsid w:val="00206850"/>
    <w:rsid w:val="00207CF8"/>
    <w:rsid w:val="00210108"/>
    <w:rsid w:val="002116E2"/>
    <w:rsid w:val="0021226D"/>
    <w:rsid w:val="00215AD7"/>
    <w:rsid w:val="002164BE"/>
    <w:rsid w:val="00220760"/>
    <w:rsid w:val="00220A98"/>
    <w:rsid w:val="0022136E"/>
    <w:rsid w:val="0022312B"/>
    <w:rsid w:val="00223DD7"/>
    <w:rsid w:val="00225575"/>
    <w:rsid w:val="00225C18"/>
    <w:rsid w:val="00226789"/>
    <w:rsid w:val="0022726B"/>
    <w:rsid w:val="002273AC"/>
    <w:rsid w:val="00231B64"/>
    <w:rsid w:val="00231BB4"/>
    <w:rsid w:val="00231C18"/>
    <w:rsid w:val="00231DDA"/>
    <w:rsid w:val="002428DB"/>
    <w:rsid w:val="00242C00"/>
    <w:rsid w:val="002432C1"/>
    <w:rsid w:val="00245444"/>
    <w:rsid w:val="002459EB"/>
    <w:rsid w:val="0025000D"/>
    <w:rsid w:val="00251195"/>
    <w:rsid w:val="00254BD6"/>
    <w:rsid w:val="00255667"/>
    <w:rsid w:val="00255A5B"/>
    <w:rsid w:val="00255F17"/>
    <w:rsid w:val="00256CBB"/>
    <w:rsid w:val="002608A5"/>
    <w:rsid w:val="00260C6A"/>
    <w:rsid w:val="00261238"/>
    <w:rsid w:val="002638EB"/>
    <w:rsid w:val="0026446F"/>
    <w:rsid w:val="00267A52"/>
    <w:rsid w:val="00270734"/>
    <w:rsid w:val="0027265D"/>
    <w:rsid w:val="00273925"/>
    <w:rsid w:val="00277488"/>
    <w:rsid w:val="0028050A"/>
    <w:rsid w:val="00282C99"/>
    <w:rsid w:val="00282D9B"/>
    <w:rsid w:val="00283E0D"/>
    <w:rsid w:val="0028569D"/>
    <w:rsid w:val="0029184C"/>
    <w:rsid w:val="00291A59"/>
    <w:rsid w:val="002923FA"/>
    <w:rsid w:val="00293B4D"/>
    <w:rsid w:val="00293DFA"/>
    <w:rsid w:val="00294AE0"/>
    <w:rsid w:val="002974AD"/>
    <w:rsid w:val="00297604"/>
    <w:rsid w:val="002A1D00"/>
    <w:rsid w:val="002A26D8"/>
    <w:rsid w:val="002A32A3"/>
    <w:rsid w:val="002A5760"/>
    <w:rsid w:val="002A67EC"/>
    <w:rsid w:val="002B08A0"/>
    <w:rsid w:val="002B1FF3"/>
    <w:rsid w:val="002B2C22"/>
    <w:rsid w:val="002B3426"/>
    <w:rsid w:val="002B5A64"/>
    <w:rsid w:val="002B67F2"/>
    <w:rsid w:val="002B76D5"/>
    <w:rsid w:val="002C0CDC"/>
    <w:rsid w:val="002C1F03"/>
    <w:rsid w:val="002C2BB7"/>
    <w:rsid w:val="002C2E16"/>
    <w:rsid w:val="002C318D"/>
    <w:rsid w:val="002C32BD"/>
    <w:rsid w:val="002C496A"/>
    <w:rsid w:val="002C5E02"/>
    <w:rsid w:val="002C5F55"/>
    <w:rsid w:val="002C6F2A"/>
    <w:rsid w:val="002C7E0D"/>
    <w:rsid w:val="002C7E20"/>
    <w:rsid w:val="002D006B"/>
    <w:rsid w:val="002D0598"/>
    <w:rsid w:val="002D1E06"/>
    <w:rsid w:val="002D1FC7"/>
    <w:rsid w:val="002D22C7"/>
    <w:rsid w:val="002D2DF4"/>
    <w:rsid w:val="002D3E27"/>
    <w:rsid w:val="002D53D6"/>
    <w:rsid w:val="002D652F"/>
    <w:rsid w:val="002E038E"/>
    <w:rsid w:val="002E0C93"/>
    <w:rsid w:val="002E21FD"/>
    <w:rsid w:val="002E2DAC"/>
    <w:rsid w:val="002F04CE"/>
    <w:rsid w:val="002F101C"/>
    <w:rsid w:val="002F14A9"/>
    <w:rsid w:val="002F176B"/>
    <w:rsid w:val="002F1853"/>
    <w:rsid w:val="002F566F"/>
    <w:rsid w:val="002F5BB5"/>
    <w:rsid w:val="002F5F08"/>
    <w:rsid w:val="002F6834"/>
    <w:rsid w:val="002F7414"/>
    <w:rsid w:val="002F74EE"/>
    <w:rsid w:val="00301A4E"/>
    <w:rsid w:val="00301E61"/>
    <w:rsid w:val="00303944"/>
    <w:rsid w:val="0030402A"/>
    <w:rsid w:val="00310C5F"/>
    <w:rsid w:val="003113C8"/>
    <w:rsid w:val="00312BBE"/>
    <w:rsid w:val="00313761"/>
    <w:rsid w:val="00314252"/>
    <w:rsid w:val="00315469"/>
    <w:rsid w:val="003172FD"/>
    <w:rsid w:val="00317840"/>
    <w:rsid w:val="00320666"/>
    <w:rsid w:val="00320E2E"/>
    <w:rsid w:val="00321B9E"/>
    <w:rsid w:val="00321F35"/>
    <w:rsid w:val="00322D52"/>
    <w:rsid w:val="00327ED0"/>
    <w:rsid w:val="00335063"/>
    <w:rsid w:val="003359D4"/>
    <w:rsid w:val="00340663"/>
    <w:rsid w:val="003416F4"/>
    <w:rsid w:val="003425D9"/>
    <w:rsid w:val="00342C3E"/>
    <w:rsid w:val="00342C60"/>
    <w:rsid w:val="0034564A"/>
    <w:rsid w:val="00345ED2"/>
    <w:rsid w:val="00347EB8"/>
    <w:rsid w:val="003517E0"/>
    <w:rsid w:val="00351B9E"/>
    <w:rsid w:val="00351F24"/>
    <w:rsid w:val="003520FD"/>
    <w:rsid w:val="00352B5E"/>
    <w:rsid w:val="00354B9C"/>
    <w:rsid w:val="00355C32"/>
    <w:rsid w:val="0035630D"/>
    <w:rsid w:val="0035643A"/>
    <w:rsid w:val="00356BDC"/>
    <w:rsid w:val="003577A9"/>
    <w:rsid w:val="003600C3"/>
    <w:rsid w:val="00361FC1"/>
    <w:rsid w:val="00363C3A"/>
    <w:rsid w:val="00365398"/>
    <w:rsid w:val="00367795"/>
    <w:rsid w:val="00370DCC"/>
    <w:rsid w:val="00371D44"/>
    <w:rsid w:val="003735A6"/>
    <w:rsid w:val="0037475C"/>
    <w:rsid w:val="00380012"/>
    <w:rsid w:val="00381982"/>
    <w:rsid w:val="00381E32"/>
    <w:rsid w:val="00381E71"/>
    <w:rsid w:val="00382540"/>
    <w:rsid w:val="0038364E"/>
    <w:rsid w:val="00383A92"/>
    <w:rsid w:val="00386963"/>
    <w:rsid w:val="003875F8"/>
    <w:rsid w:val="00390708"/>
    <w:rsid w:val="00391D1B"/>
    <w:rsid w:val="003935C6"/>
    <w:rsid w:val="00393723"/>
    <w:rsid w:val="00395AAC"/>
    <w:rsid w:val="00396B23"/>
    <w:rsid w:val="00396E7A"/>
    <w:rsid w:val="003974BD"/>
    <w:rsid w:val="003A0864"/>
    <w:rsid w:val="003A2608"/>
    <w:rsid w:val="003A3CCF"/>
    <w:rsid w:val="003A68FC"/>
    <w:rsid w:val="003A6A52"/>
    <w:rsid w:val="003A7112"/>
    <w:rsid w:val="003A779B"/>
    <w:rsid w:val="003B1186"/>
    <w:rsid w:val="003B1889"/>
    <w:rsid w:val="003B282C"/>
    <w:rsid w:val="003B4C23"/>
    <w:rsid w:val="003B7D00"/>
    <w:rsid w:val="003C101C"/>
    <w:rsid w:val="003C133F"/>
    <w:rsid w:val="003C1AC6"/>
    <w:rsid w:val="003C1E90"/>
    <w:rsid w:val="003C3766"/>
    <w:rsid w:val="003C5A95"/>
    <w:rsid w:val="003C7285"/>
    <w:rsid w:val="003C7D6B"/>
    <w:rsid w:val="003D0250"/>
    <w:rsid w:val="003D0739"/>
    <w:rsid w:val="003D07F1"/>
    <w:rsid w:val="003D1F42"/>
    <w:rsid w:val="003D1FF2"/>
    <w:rsid w:val="003D545D"/>
    <w:rsid w:val="003E115F"/>
    <w:rsid w:val="003E179E"/>
    <w:rsid w:val="003E19F4"/>
    <w:rsid w:val="003E1C14"/>
    <w:rsid w:val="003E35CE"/>
    <w:rsid w:val="003E60AC"/>
    <w:rsid w:val="003E782C"/>
    <w:rsid w:val="003F041F"/>
    <w:rsid w:val="003F0978"/>
    <w:rsid w:val="003F0F0F"/>
    <w:rsid w:val="003F1682"/>
    <w:rsid w:val="003F42BE"/>
    <w:rsid w:val="003F6716"/>
    <w:rsid w:val="003F7B46"/>
    <w:rsid w:val="00400409"/>
    <w:rsid w:val="00400D94"/>
    <w:rsid w:val="004028B8"/>
    <w:rsid w:val="00405BCB"/>
    <w:rsid w:val="00410BED"/>
    <w:rsid w:val="00413904"/>
    <w:rsid w:val="00413FEB"/>
    <w:rsid w:val="004147FD"/>
    <w:rsid w:val="00415191"/>
    <w:rsid w:val="0041683C"/>
    <w:rsid w:val="00421A00"/>
    <w:rsid w:val="00421C43"/>
    <w:rsid w:val="00421D0F"/>
    <w:rsid w:val="0042273F"/>
    <w:rsid w:val="00422BE2"/>
    <w:rsid w:val="004237EA"/>
    <w:rsid w:val="004245C7"/>
    <w:rsid w:val="004246CD"/>
    <w:rsid w:val="0042570C"/>
    <w:rsid w:val="00425A55"/>
    <w:rsid w:val="0042637E"/>
    <w:rsid w:val="00426E98"/>
    <w:rsid w:val="00430F04"/>
    <w:rsid w:val="00431AD9"/>
    <w:rsid w:val="00432CD0"/>
    <w:rsid w:val="00444552"/>
    <w:rsid w:val="004446CD"/>
    <w:rsid w:val="0044620B"/>
    <w:rsid w:val="0044766A"/>
    <w:rsid w:val="0045039C"/>
    <w:rsid w:val="004507E7"/>
    <w:rsid w:val="00451D36"/>
    <w:rsid w:val="00452A4D"/>
    <w:rsid w:val="00453B0F"/>
    <w:rsid w:val="00453C72"/>
    <w:rsid w:val="00453FB1"/>
    <w:rsid w:val="00454711"/>
    <w:rsid w:val="00454876"/>
    <w:rsid w:val="00455054"/>
    <w:rsid w:val="0045680F"/>
    <w:rsid w:val="00456E34"/>
    <w:rsid w:val="004577DD"/>
    <w:rsid w:val="00460C7C"/>
    <w:rsid w:val="004631E8"/>
    <w:rsid w:val="0046324A"/>
    <w:rsid w:val="00463CC6"/>
    <w:rsid w:val="00464C39"/>
    <w:rsid w:val="00465448"/>
    <w:rsid w:val="0046729E"/>
    <w:rsid w:val="0046736F"/>
    <w:rsid w:val="00467FAD"/>
    <w:rsid w:val="00474601"/>
    <w:rsid w:val="00477152"/>
    <w:rsid w:val="00480D3A"/>
    <w:rsid w:val="00481431"/>
    <w:rsid w:val="0048167A"/>
    <w:rsid w:val="0048301F"/>
    <w:rsid w:val="0048318A"/>
    <w:rsid w:val="0048484C"/>
    <w:rsid w:val="00484CEF"/>
    <w:rsid w:val="00486BAD"/>
    <w:rsid w:val="00486E56"/>
    <w:rsid w:val="00487144"/>
    <w:rsid w:val="0048745E"/>
    <w:rsid w:val="00487D93"/>
    <w:rsid w:val="00492AE3"/>
    <w:rsid w:val="00492B5A"/>
    <w:rsid w:val="00493840"/>
    <w:rsid w:val="0049404A"/>
    <w:rsid w:val="004951A0"/>
    <w:rsid w:val="004960A8"/>
    <w:rsid w:val="00497900"/>
    <w:rsid w:val="004A0ED7"/>
    <w:rsid w:val="004A1A29"/>
    <w:rsid w:val="004A2A09"/>
    <w:rsid w:val="004A7012"/>
    <w:rsid w:val="004B1E44"/>
    <w:rsid w:val="004B2F75"/>
    <w:rsid w:val="004B44E6"/>
    <w:rsid w:val="004B4AC0"/>
    <w:rsid w:val="004B4DFC"/>
    <w:rsid w:val="004B4F70"/>
    <w:rsid w:val="004B5AFA"/>
    <w:rsid w:val="004C01BA"/>
    <w:rsid w:val="004C1B50"/>
    <w:rsid w:val="004C1E63"/>
    <w:rsid w:val="004C2CAC"/>
    <w:rsid w:val="004C2F21"/>
    <w:rsid w:val="004C397F"/>
    <w:rsid w:val="004C6631"/>
    <w:rsid w:val="004D0579"/>
    <w:rsid w:val="004D2E9E"/>
    <w:rsid w:val="004D52E3"/>
    <w:rsid w:val="004E3164"/>
    <w:rsid w:val="004F13A0"/>
    <w:rsid w:val="004F1E98"/>
    <w:rsid w:val="004F23CE"/>
    <w:rsid w:val="004F55D8"/>
    <w:rsid w:val="004F5C3E"/>
    <w:rsid w:val="004F5FA4"/>
    <w:rsid w:val="00500677"/>
    <w:rsid w:val="005011D9"/>
    <w:rsid w:val="00501875"/>
    <w:rsid w:val="005027A9"/>
    <w:rsid w:val="00502D7A"/>
    <w:rsid w:val="005034A0"/>
    <w:rsid w:val="005041EC"/>
    <w:rsid w:val="005047C2"/>
    <w:rsid w:val="0050495F"/>
    <w:rsid w:val="00505174"/>
    <w:rsid w:val="005053AB"/>
    <w:rsid w:val="00507212"/>
    <w:rsid w:val="00510399"/>
    <w:rsid w:val="005167F3"/>
    <w:rsid w:val="00516A9C"/>
    <w:rsid w:val="00521631"/>
    <w:rsid w:val="0052454E"/>
    <w:rsid w:val="005255B8"/>
    <w:rsid w:val="00525FB0"/>
    <w:rsid w:val="00527F2A"/>
    <w:rsid w:val="0053077D"/>
    <w:rsid w:val="005308C2"/>
    <w:rsid w:val="005308C3"/>
    <w:rsid w:val="005313C9"/>
    <w:rsid w:val="005326A4"/>
    <w:rsid w:val="00533669"/>
    <w:rsid w:val="0053382C"/>
    <w:rsid w:val="00533D66"/>
    <w:rsid w:val="00534FDB"/>
    <w:rsid w:val="00535FA0"/>
    <w:rsid w:val="00536684"/>
    <w:rsid w:val="005400FF"/>
    <w:rsid w:val="0054070A"/>
    <w:rsid w:val="00542DBF"/>
    <w:rsid w:val="005461C9"/>
    <w:rsid w:val="00546A3A"/>
    <w:rsid w:val="005506DE"/>
    <w:rsid w:val="0055079F"/>
    <w:rsid w:val="005519C2"/>
    <w:rsid w:val="00552AAE"/>
    <w:rsid w:val="00553416"/>
    <w:rsid w:val="00553AE1"/>
    <w:rsid w:val="005543D5"/>
    <w:rsid w:val="00554D44"/>
    <w:rsid w:val="00554EBA"/>
    <w:rsid w:val="00560463"/>
    <w:rsid w:val="0056164E"/>
    <w:rsid w:val="00561876"/>
    <w:rsid w:val="00561F6C"/>
    <w:rsid w:val="0056247B"/>
    <w:rsid w:val="00562F60"/>
    <w:rsid w:val="0056486C"/>
    <w:rsid w:val="00564941"/>
    <w:rsid w:val="00566943"/>
    <w:rsid w:val="00566CA1"/>
    <w:rsid w:val="005738A6"/>
    <w:rsid w:val="00573C7D"/>
    <w:rsid w:val="00573EC8"/>
    <w:rsid w:val="00574A22"/>
    <w:rsid w:val="00576790"/>
    <w:rsid w:val="0058282E"/>
    <w:rsid w:val="00582C94"/>
    <w:rsid w:val="00582F15"/>
    <w:rsid w:val="005836C9"/>
    <w:rsid w:val="00587361"/>
    <w:rsid w:val="005905FE"/>
    <w:rsid w:val="00592B1E"/>
    <w:rsid w:val="00592BA8"/>
    <w:rsid w:val="00593A2C"/>
    <w:rsid w:val="0059430D"/>
    <w:rsid w:val="005978EA"/>
    <w:rsid w:val="005A0218"/>
    <w:rsid w:val="005A0E78"/>
    <w:rsid w:val="005A1D0D"/>
    <w:rsid w:val="005A2A08"/>
    <w:rsid w:val="005A50F4"/>
    <w:rsid w:val="005A79C9"/>
    <w:rsid w:val="005A7F41"/>
    <w:rsid w:val="005B1D3D"/>
    <w:rsid w:val="005B3C4E"/>
    <w:rsid w:val="005B4418"/>
    <w:rsid w:val="005B45EF"/>
    <w:rsid w:val="005B4886"/>
    <w:rsid w:val="005B63B7"/>
    <w:rsid w:val="005C1B20"/>
    <w:rsid w:val="005C1C27"/>
    <w:rsid w:val="005C53EB"/>
    <w:rsid w:val="005C69DD"/>
    <w:rsid w:val="005C7A36"/>
    <w:rsid w:val="005D00A4"/>
    <w:rsid w:val="005D022E"/>
    <w:rsid w:val="005D1F4B"/>
    <w:rsid w:val="005D20F1"/>
    <w:rsid w:val="005D2D38"/>
    <w:rsid w:val="005D36F3"/>
    <w:rsid w:val="005D5B2B"/>
    <w:rsid w:val="005D7983"/>
    <w:rsid w:val="005E2A52"/>
    <w:rsid w:val="005E4856"/>
    <w:rsid w:val="005E61A0"/>
    <w:rsid w:val="005E6F12"/>
    <w:rsid w:val="005F1A8C"/>
    <w:rsid w:val="005F3826"/>
    <w:rsid w:val="0060076C"/>
    <w:rsid w:val="006035BB"/>
    <w:rsid w:val="006047C8"/>
    <w:rsid w:val="00606606"/>
    <w:rsid w:val="00610A1E"/>
    <w:rsid w:val="00613500"/>
    <w:rsid w:val="006161B6"/>
    <w:rsid w:val="006171B9"/>
    <w:rsid w:val="0061763B"/>
    <w:rsid w:val="0061769D"/>
    <w:rsid w:val="006244C9"/>
    <w:rsid w:val="0062543B"/>
    <w:rsid w:val="00626C49"/>
    <w:rsid w:val="00627825"/>
    <w:rsid w:val="0063250B"/>
    <w:rsid w:val="00633891"/>
    <w:rsid w:val="006345F3"/>
    <w:rsid w:val="006362DE"/>
    <w:rsid w:val="00636ABC"/>
    <w:rsid w:val="00640625"/>
    <w:rsid w:val="00642992"/>
    <w:rsid w:val="00642AE7"/>
    <w:rsid w:val="00642D23"/>
    <w:rsid w:val="0064614F"/>
    <w:rsid w:val="006515ED"/>
    <w:rsid w:val="00654326"/>
    <w:rsid w:val="00654499"/>
    <w:rsid w:val="00655728"/>
    <w:rsid w:val="006558E4"/>
    <w:rsid w:val="00655986"/>
    <w:rsid w:val="0066210B"/>
    <w:rsid w:val="00663307"/>
    <w:rsid w:val="006650EB"/>
    <w:rsid w:val="006658C6"/>
    <w:rsid w:val="006667EE"/>
    <w:rsid w:val="006673E9"/>
    <w:rsid w:val="00670B54"/>
    <w:rsid w:val="00671FC7"/>
    <w:rsid w:val="00676E29"/>
    <w:rsid w:val="00677021"/>
    <w:rsid w:val="00677708"/>
    <w:rsid w:val="0067787A"/>
    <w:rsid w:val="00683CB7"/>
    <w:rsid w:val="00683F0D"/>
    <w:rsid w:val="0068435B"/>
    <w:rsid w:val="00685E00"/>
    <w:rsid w:val="00685E2D"/>
    <w:rsid w:val="0069050E"/>
    <w:rsid w:val="00692E24"/>
    <w:rsid w:val="0069376D"/>
    <w:rsid w:val="00694670"/>
    <w:rsid w:val="00695980"/>
    <w:rsid w:val="00696881"/>
    <w:rsid w:val="00697CC6"/>
    <w:rsid w:val="006A1374"/>
    <w:rsid w:val="006A2289"/>
    <w:rsid w:val="006A445E"/>
    <w:rsid w:val="006A4E8E"/>
    <w:rsid w:val="006A53FC"/>
    <w:rsid w:val="006A750C"/>
    <w:rsid w:val="006B03E2"/>
    <w:rsid w:val="006B3840"/>
    <w:rsid w:val="006B55A3"/>
    <w:rsid w:val="006B566D"/>
    <w:rsid w:val="006C267E"/>
    <w:rsid w:val="006C2688"/>
    <w:rsid w:val="006C28A8"/>
    <w:rsid w:val="006C2EC3"/>
    <w:rsid w:val="006C4756"/>
    <w:rsid w:val="006C6507"/>
    <w:rsid w:val="006D0B4F"/>
    <w:rsid w:val="006D361E"/>
    <w:rsid w:val="006D7383"/>
    <w:rsid w:val="006E0D25"/>
    <w:rsid w:val="006E3545"/>
    <w:rsid w:val="006E7732"/>
    <w:rsid w:val="006F1BFF"/>
    <w:rsid w:val="006F2550"/>
    <w:rsid w:val="006F7332"/>
    <w:rsid w:val="00700BEB"/>
    <w:rsid w:val="00701F7A"/>
    <w:rsid w:val="007044AA"/>
    <w:rsid w:val="0070502B"/>
    <w:rsid w:val="00705656"/>
    <w:rsid w:val="0070586E"/>
    <w:rsid w:val="00706059"/>
    <w:rsid w:val="00706353"/>
    <w:rsid w:val="00706A0F"/>
    <w:rsid w:val="00706F95"/>
    <w:rsid w:val="0070722D"/>
    <w:rsid w:val="00707F66"/>
    <w:rsid w:val="00710B02"/>
    <w:rsid w:val="007118AE"/>
    <w:rsid w:val="00716F5D"/>
    <w:rsid w:val="00717044"/>
    <w:rsid w:val="0072215C"/>
    <w:rsid w:val="007221A8"/>
    <w:rsid w:val="007224A1"/>
    <w:rsid w:val="007236D9"/>
    <w:rsid w:val="00724284"/>
    <w:rsid w:val="007272CE"/>
    <w:rsid w:val="0073144A"/>
    <w:rsid w:val="00731484"/>
    <w:rsid w:val="007315AF"/>
    <w:rsid w:val="007319B9"/>
    <w:rsid w:val="00734564"/>
    <w:rsid w:val="00735669"/>
    <w:rsid w:val="0073620F"/>
    <w:rsid w:val="0073743A"/>
    <w:rsid w:val="00741192"/>
    <w:rsid w:val="007417E5"/>
    <w:rsid w:val="00742804"/>
    <w:rsid w:val="00744663"/>
    <w:rsid w:val="00746E96"/>
    <w:rsid w:val="00750063"/>
    <w:rsid w:val="007514F1"/>
    <w:rsid w:val="00752294"/>
    <w:rsid w:val="00753CE9"/>
    <w:rsid w:val="00761515"/>
    <w:rsid w:val="007627C1"/>
    <w:rsid w:val="007632CE"/>
    <w:rsid w:val="0077010F"/>
    <w:rsid w:val="0077108A"/>
    <w:rsid w:val="00771D03"/>
    <w:rsid w:val="0077282D"/>
    <w:rsid w:val="00774792"/>
    <w:rsid w:val="00775977"/>
    <w:rsid w:val="00776A06"/>
    <w:rsid w:val="00780F21"/>
    <w:rsid w:val="00781BC2"/>
    <w:rsid w:val="00783340"/>
    <w:rsid w:val="00784D88"/>
    <w:rsid w:val="007972BD"/>
    <w:rsid w:val="00797A34"/>
    <w:rsid w:val="007A2619"/>
    <w:rsid w:val="007A3F43"/>
    <w:rsid w:val="007A4C2B"/>
    <w:rsid w:val="007A5710"/>
    <w:rsid w:val="007A6F4D"/>
    <w:rsid w:val="007B02AB"/>
    <w:rsid w:val="007B041F"/>
    <w:rsid w:val="007B0AE0"/>
    <w:rsid w:val="007B1A32"/>
    <w:rsid w:val="007B2101"/>
    <w:rsid w:val="007B3998"/>
    <w:rsid w:val="007B65BF"/>
    <w:rsid w:val="007C1CE7"/>
    <w:rsid w:val="007C3C61"/>
    <w:rsid w:val="007C4244"/>
    <w:rsid w:val="007C47FE"/>
    <w:rsid w:val="007C4B2E"/>
    <w:rsid w:val="007C5518"/>
    <w:rsid w:val="007C5C5E"/>
    <w:rsid w:val="007C5F34"/>
    <w:rsid w:val="007C67E8"/>
    <w:rsid w:val="007C6976"/>
    <w:rsid w:val="007C7D8F"/>
    <w:rsid w:val="007D00C1"/>
    <w:rsid w:val="007D350E"/>
    <w:rsid w:val="007D4F0C"/>
    <w:rsid w:val="007D5075"/>
    <w:rsid w:val="007D533C"/>
    <w:rsid w:val="007D6BF3"/>
    <w:rsid w:val="007E0E30"/>
    <w:rsid w:val="007E280D"/>
    <w:rsid w:val="007E4401"/>
    <w:rsid w:val="007E55A2"/>
    <w:rsid w:val="007E5AFF"/>
    <w:rsid w:val="007E7012"/>
    <w:rsid w:val="007E7ACF"/>
    <w:rsid w:val="007F2734"/>
    <w:rsid w:val="007F2A89"/>
    <w:rsid w:val="007F2C10"/>
    <w:rsid w:val="007F542A"/>
    <w:rsid w:val="007F5C7E"/>
    <w:rsid w:val="007F5E6D"/>
    <w:rsid w:val="007F668D"/>
    <w:rsid w:val="007F7EB7"/>
    <w:rsid w:val="00802581"/>
    <w:rsid w:val="008025F1"/>
    <w:rsid w:val="008036C5"/>
    <w:rsid w:val="0080465A"/>
    <w:rsid w:val="0080532D"/>
    <w:rsid w:val="00807AD8"/>
    <w:rsid w:val="00807FB1"/>
    <w:rsid w:val="0081051F"/>
    <w:rsid w:val="008122A1"/>
    <w:rsid w:val="00813954"/>
    <w:rsid w:val="00813A3C"/>
    <w:rsid w:val="00815382"/>
    <w:rsid w:val="00816412"/>
    <w:rsid w:val="00817DBB"/>
    <w:rsid w:val="00817E37"/>
    <w:rsid w:val="0082033A"/>
    <w:rsid w:val="00820357"/>
    <w:rsid w:val="00820BB1"/>
    <w:rsid w:val="008226C7"/>
    <w:rsid w:val="008243A0"/>
    <w:rsid w:val="00827DF3"/>
    <w:rsid w:val="00830A15"/>
    <w:rsid w:val="00830E72"/>
    <w:rsid w:val="008327B0"/>
    <w:rsid w:val="008333CE"/>
    <w:rsid w:val="008346D6"/>
    <w:rsid w:val="0083574A"/>
    <w:rsid w:val="00835AC3"/>
    <w:rsid w:val="00837F16"/>
    <w:rsid w:val="00840063"/>
    <w:rsid w:val="008400F8"/>
    <w:rsid w:val="008416A4"/>
    <w:rsid w:val="00841ACD"/>
    <w:rsid w:val="008433CC"/>
    <w:rsid w:val="00844680"/>
    <w:rsid w:val="00846685"/>
    <w:rsid w:val="00847832"/>
    <w:rsid w:val="00847DD3"/>
    <w:rsid w:val="00850639"/>
    <w:rsid w:val="00851542"/>
    <w:rsid w:val="008544A2"/>
    <w:rsid w:val="00854D4A"/>
    <w:rsid w:val="008604C3"/>
    <w:rsid w:val="00861204"/>
    <w:rsid w:val="008646AF"/>
    <w:rsid w:val="00870338"/>
    <w:rsid w:val="00870897"/>
    <w:rsid w:val="00871C82"/>
    <w:rsid w:val="008738D4"/>
    <w:rsid w:val="008744EE"/>
    <w:rsid w:val="0087498A"/>
    <w:rsid w:val="00876A18"/>
    <w:rsid w:val="00876D5A"/>
    <w:rsid w:val="00877A8B"/>
    <w:rsid w:val="0088074C"/>
    <w:rsid w:val="008809D7"/>
    <w:rsid w:val="00881187"/>
    <w:rsid w:val="008812B0"/>
    <w:rsid w:val="00883C5D"/>
    <w:rsid w:val="008906A6"/>
    <w:rsid w:val="00891364"/>
    <w:rsid w:val="00891900"/>
    <w:rsid w:val="00892671"/>
    <w:rsid w:val="00892687"/>
    <w:rsid w:val="0089433D"/>
    <w:rsid w:val="00894B46"/>
    <w:rsid w:val="00896B4D"/>
    <w:rsid w:val="008A1787"/>
    <w:rsid w:val="008A5155"/>
    <w:rsid w:val="008A557E"/>
    <w:rsid w:val="008A55CA"/>
    <w:rsid w:val="008A757A"/>
    <w:rsid w:val="008B07CF"/>
    <w:rsid w:val="008B50C4"/>
    <w:rsid w:val="008B767B"/>
    <w:rsid w:val="008C483D"/>
    <w:rsid w:val="008C68FB"/>
    <w:rsid w:val="008C6FB5"/>
    <w:rsid w:val="008D0C3F"/>
    <w:rsid w:val="008D1183"/>
    <w:rsid w:val="008D1959"/>
    <w:rsid w:val="008D5AD9"/>
    <w:rsid w:val="008D5F5E"/>
    <w:rsid w:val="008D70F0"/>
    <w:rsid w:val="008D7786"/>
    <w:rsid w:val="008E1173"/>
    <w:rsid w:val="008E2EA5"/>
    <w:rsid w:val="008E49F9"/>
    <w:rsid w:val="008E5F50"/>
    <w:rsid w:val="008E7B5D"/>
    <w:rsid w:val="008F02C3"/>
    <w:rsid w:val="008F07FF"/>
    <w:rsid w:val="008F0B52"/>
    <w:rsid w:val="008F171F"/>
    <w:rsid w:val="008F3A00"/>
    <w:rsid w:val="008F4CA8"/>
    <w:rsid w:val="008F4FE1"/>
    <w:rsid w:val="008F524D"/>
    <w:rsid w:val="008F533A"/>
    <w:rsid w:val="008F658F"/>
    <w:rsid w:val="009008C5"/>
    <w:rsid w:val="009017D8"/>
    <w:rsid w:val="00902CCD"/>
    <w:rsid w:val="00906320"/>
    <w:rsid w:val="00906506"/>
    <w:rsid w:val="0090681D"/>
    <w:rsid w:val="00906A6F"/>
    <w:rsid w:val="00907ED2"/>
    <w:rsid w:val="0091082B"/>
    <w:rsid w:val="00911421"/>
    <w:rsid w:val="009124B0"/>
    <w:rsid w:val="0091272D"/>
    <w:rsid w:val="00912D00"/>
    <w:rsid w:val="00915325"/>
    <w:rsid w:val="00915403"/>
    <w:rsid w:val="0091589E"/>
    <w:rsid w:val="00916AF7"/>
    <w:rsid w:val="009173C5"/>
    <w:rsid w:val="00917C9D"/>
    <w:rsid w:val="00924931"/>
    <w:rsid w:val="009263A8"/>
    <w:rsid w:val="00927231"/>
    <w:rsid w:val="009274E8"/>
    <w:rsid w:val="00930277"/>
    <w:rsid w:val="009317A3"/>
    <w:rsid w:val="0093396A"/>
    <w:rsid w:val="00933C5A"/>
    <w:rsid w:val="00933DBC"/>
    <w:rsid w:val="00934898"/>
    <w:rsid w:val="0093500E"/>
    <w:rsid w:val="00935D3F"/>
    <w:rsid w:val="009361B7"/>
    <w:rsid w:val="009368D5"/>
    <w:rsid w:val="00940857"/>
    <w:rsid w:val="009423D9"/>
    <w:rsid w:val="009429E5"/>
    <w:rsid w:val="00943106"/>
    <w:rsid w:val="00946D3C"/>
    <w:rsid w:val="00947515"/>
    <w:rsid w:val="00950660"/>
    <w:rsid w:val="009520AB"/>
    <w:rsid w:val="00952F21"/>
    <w:rsid w:val="009532E3"/>
    <w:rsid w:val="00955190"/>
    <w:rsid w:val="00955AE1"/>
    <w:rsid w:val="009565D8"/>
    <w:rsid w:val="00961CD4"/>
    <w:rsid w:val="009639FD"/>
    <w:rsid w:val="00963A04"/>
    <w:rsid w:val="00967677"/>
    <w:rsid w:val="009677A0"/>
    <w:rsid w:val="00967E7D"/>
    <w:rsid w:val="00970BE7"/>
    <w:rsid w:val="0097126A"/>
    <w:rsid w:val="0097170D"/>
    <w:rsid w:val="00972D87"/>
    <w:rsid w:val="009739F2"/>
    <w:rsid w:val="0097400D"/>
    <w:rsid w:val="00975FF6"/>
    <w:rsid w:val="00976A05"/>
    <w:rsid w:val="009771F1"/>
    <w:rsid w:val="009776EB"/>
    <w:rsid w:val="0097772C"/>
    <w:rsid w:val="00980020"/>
    <w:rsid w:val="009804AC"/>
    <w:rsid w:val="0098153E"/>
    <w:rsid w:val="00982112"/>
    <w:rsid w:val="009821BD"/>
    <w:rsid w:val="009848AC"/>
    <w:rsid w:val="00985C05"/>
    <w:rsid w:val="009865F5"/>
    <w:rsid w:val="0098669A"/>
    <w:rsid w:val="00987BC0"/>
    <w:rsid w:val="00990106"/>
    <w:rsid w:val="00990948"/>
    <w:rsid w:val="00990F47"/>
    <w:rsid w:val="00991C57"/>
    <w:rsid w:val="00993846"/>
    <w:rsid w:val="00994A02"/>
    <w:rsid w:val="00994D7A"/>
    <w:rsid w:val="00996FCE"/>
    <w:rsid w:val="009A3EED"/>
    <w:rsid w:val="009B0620"/>
    <w:rsid w:val="009B1BF7"/>
    <w:rsid w:val="009B2792"/>
    <w:rsid w:val="009B72DD"/>
    <w:rsid w:val="009C0148"/>
    <w:rsid w:val="009C027C"/>
    <w:rsid w:val="009C093E"/>
    <w:rsid w:val="009C0F8F"/>
    <w:rsid w:val="009C36E0"/>
    <w:rsid w:val="009C3D59"/>
    <w:rsid w:val="009C4663"/>
    <w:rsid w:val="009C4C27"/>
    <w:rsid w:val="009C51C2"/>
    <w:rsid w:val="009C76FE"/>
    <w:rsid w:val="009C7928"/>
    <w:rsid w:val="009D0BF8"/>
    <w:rsid w:val="009D109D"/>
    <w:rsid w:val="009D26AE"/>
    <w:rsid w:val="009E256E"/>
    <w:rsid w:val="009E2622"/>
    <w:rsid w:val="009E27AD"/>
    <w:rsid w:val="009E29D4"/>
    <w:rsid w:val="009E4450"/>
    <w:rsid w:val="009E4D9D"/>
    <w:rsid w:val="009E4DF4"/>
    <w:rsid w:val="009E5F7E"/>
    <w:rsid w:val="009F2199"/>
    <w:rsid w:val="009F27C3"/>
    <w:rsid w:val="009F3947"/>
    <w:rsid w:val="00A0104E"/>
    <w:rsid w:val="00A02A53"/>
    <w:rsid w:val="00A06B42"/>
    <w:rsid w:val="00A07B8D"/>
    <w:rsid w:val="00A1004F"/>
    <w:rsid w:val="00A10DA2"/>
    <w:rsid w:val="00A16353"/>
    <w:rsid w:val="00A16F16"/>
    <w:rsid w:val="00A16FD1"/>
    <w:rsid w:val="00A209E8"/>
    <w:rsid w:val="00A23E99"/>
    <w:rsid w:val="00A250E6"/>
    <w:rsid w:val="00A25ED9"/>
    <w:rsid w:val="00A3089F"/>
    <w:rsid w:val="00A310CC"/>
    <w:rsid w:val="00A31C50"/>
    <w:rsid w:val="00A32490"/>
    <w:rsid w:val="00A32CF5"/>
    <w:rsid w:val="00A32EB7"/>
    <w:rsid w:val="00A32F7C"/>
    <w:rsid w:val="00A33F25"/>
    <w:rsid w:val="00A35ADF"/>
    <w:rsid w:val="00A367D0"/>
    <w:rsid w:val="00A3703F"/>
    <w:rsid w:val="00A377D8"/>
    <w:rsid w:val="00A42725"/>
    <w:rsid w:val="00A4284E"/>
    <w:rsid w:val="00A50314"/>
    <w:rsid w:val="00A50D88"/>
    <w:rsid w:val="00A50F49"/>
    <w:rsid w:val="00A511D3"/>
    <w:rsid w:val="00A51E90"/>
    <w:rsid w:val="00A52DF9"/>
    <w:rsid w:val="00A535D1"/>
    <w:rsid w:val="00A53E0D"/>
    <w:rsid w:val="00A54ABF"/>
    <w:rsid w:val="00A54C6A"/>
    <w:rsid w:val="00A55F99"/>
    <w:rsid w:val="00A575A1"/>
    <w:rsid w:val="00A61862"/>
    <w:rsid w:val="00A63D5A"/>
    <w:rsid w:val="00A650D5"/>
    <w:rsid w:val="00A656C0"/>
    <w:rsid w:val="00A6712E"/>
    <w:rsid w:val="00A67796"/>
    <w:rsid w:val="00A70E67"/>
    <w:rsid w:val="00A72621"/>
    <w:rsid w:val="00A73EE4"/>
    <w:rsid w:val="00A74A11"/>
    <w:rsid w:val="00A7658D"/>
    <w:rsid w:val="00A77A40"/>
    <w:rsid w:val="00A80995"/>
    <w:rsid w:val="00A82997"/>
    <w:rsid w:val="00A84864"/>
    <w:rsid w:val="00A95021"/>
    <w:rsid w:val="00A958CF"/>
    <w:rsid w:val="00A95F19"/>
    <w:rsid w:val="00AA0281"/>
    <w:rsid w:val="00AA07CF"/>
    <w:rsid w:val="00AA2096"/>
    <w:rsid w:val="00AA2481"/>
    <w:rsid w:val="00AA286E"/>
    <w:rsid w:val="00AA5AD3"/>
    <w:rsid w:val="00AA5DA5"/>
    <w:rsid w:val="00AB11A5"/>
    <w:rsid w:val="00AB342D"/>
    <w:rsid w:val="00AB397F"/>
    <w:rsid w:val="00AB40A9"/>
    <w:rsid w:val="00AB5B49"/>
    <w:rsid w:val="00AB5D71"/>
    <w:rsid w:val="00AB6215"/>
    <w:rsid w:val="00AB6787"/>
    <w:rsid w:val="00AB6E06"/>
    <w:rsid w:val="00AB7C30"/>
    <w:rsid w:val="00AC43A3"/>
    <w:rsid w:val="00AC6506"/>
    <w:rsid w:val="00AD0202"/>
    <w:rsid w:val="00AD22B9"/>
    <w:rsid w:val="00AD2EA6"/>
    <w:rsid w:val="00AD3BAB"/>
    <w:rsid w:val="00AD4106"/>
    <w:rsid w:val="00AD6A3A"/>
    <w:rsid w:val="00AE05F7"/>
    <w:rsid w:val="00AE1079"/>
    <w:rsid w:val="00AE2FD6"/>
    <w:rsid w:val="00AE64F6"/>
    <w:rsid w:val="00AF0261"/>
    <w:rsid w:val="00AF02C6"/>
    <w:rsid w:val="00AF0E53"/>
    <w:rsid w:val="00AF228F"/>
    <w:rsid w:val="00AF671E"/>
    <w:rsid w:val="00B00BD0"/>
    <w:rsid w:val="00B0102F"/>
    <w:rsid w:val="00B02A7A"/>
    <w:rsid w:val="00B02EAC"/>
    <w:rsid w:val="00B033AE"/>
    <w:rsid w:val="00B0528B"/>
    <w:rsid w:val="00B060D2"/>
    <w:rsid w:val="00B0650B"/>
    <w:rsid w:val="00B06511"/>
    <w:rsid w:val="00B06953"/>
    <w:rsid w:val="00B0710E"/>
    <w:rsid w:val="00B0737F"/>
    <w:rsid w:val="00B10699"/>
    <w:rsid w:val="00B1204B"/>
    <w:rsid w:val="00B131EA"/>
    <w:rsid w:val="00B1444D"/>
    <w:rsid w:val="00B15BAF"/>
    <w:rsid w:val="00B16607"/>
    <w:rsid w:val="00B17096"/>
    <w:rsid w:val="00B219F1"/>
    <w:rsid w:val="00B224EF"/>
    <w:rsid w:val="00B22D8D"/>
    <w:rsid w:val="00B22E11"/>
    <w:rsid w:val="00B25997"/>
    <w:rsid w:val="00B261CF"/>
    <w:rsid w:val="00B26639"/>
    <w:rsid w:val="00B31691"/>
    <w:rsid w:val="00B31783"/>
    <w:rsid w:val="00B333AF"/>
    <w:rsid w:val="00B3439E"/>
    <w:rsid w:val="00B35378"/>
    <w:rsid w:val="00B35B21"/>
    <w:rsid w:val="00B361E9"/>
    <w:rsid w:val="00B36596"/>
    <w:rsid w:val="00B41102"/>
    <w:rsid w:val="00B413F8"/>
    <w:rsid w:val="00B42B02"/>
    <w:rsid w:val="00B43704"/>
    <w:rsid w:val="00B449CC"/>
    <w:rsid w:val="00B44B26"/>
    <w:rsid w:val="00B44B59"/>
    <w:rsid w:val="00B4601A"/>
    <w:rsid w:val="00B4603A"/>
    <w:rsid w:val="00B462A1"/>
    <w:rsid w:val="00B478BF"/>
    <w:rsid w:val="00B52C1D"/>
    <w:rsid w:val="00B55575"/>
    <w:rsid w:val="00B56719"/>
    <w:rsid w:val="00B57B1E"/>
    <w:rsid w:val="00B6076A"/>
    <w:rsid w:val="00B60843"/>
    <w:rsid w:val="00B618EE"/>
    <w:rsid w:val="00B61D92"/>
    <w:rsid w:val="00B628CE"/>
    <w:rsid w:val="00B648BF"/>
    <w:rsid w:val="00B661BD"/>
    <w:rsid w:val="00B66F26"/>
    <w:rsid w:val="00B701A0"/>
    <w:rsid w:val="00B71D7E"/>
    <w:rsid w:val="00B75460"/>
    <w:rsid w:val="00B759CE"/>
    <w:rsid w:val="00B7651F"/>
    <w:rsid w:val="00B80D46"/>
    <w:rsid w:val="00B84F3B"/>
    <w:rsid w:val="00B86046"/>
    <w:rsid w:val="00B8681A"/>
    <w:rsid w:val="00B86B97"/>
    <w:rsid w:val="00B901EA"/>
    <w:rsid w:val="00B93699"/>
    <w:rsid w:val="00B94B51"/>
    <w:rsid w:val="00B954E0"/>
    <w:rsid w:val="00B9580C"/>
    <w:rsid w:val="00B95C3C"/>
    <w:rsid w:val="00B9747F"/>
    <w:rsid w:val="00BA3118"/>
    <w:rsid w:val="00BA5758"/>
    <w:rsid w:val="00BA5ABC"/>
    <w:rsid w:val="00BA5B53"/>
    <w:rsid w:val="00BA63C3"/>
    <w:rsid w:val="00BB1A08"/>
    <w:rsid w:val="00BB1A2A"/>
    <w:rsid w:val="00BB1BA0"/>
    <w:rsid w:val="00BB4F04"/>
    <w:rsid w:val="00BB58F1"/>
    <w:rsid w:val="00BC26BC"/>
    <w:rsid w:val="00BC5130"/>
    <w:rsid w:val="00BC5313"/>
    <w:rsid w:val="00BC5968"/>
    <w:rsid w:val="00BC5BB4"/>
    <w:rsid w:val="00BC606F"/>
    <w:rsid w:val="00BC6616"/>
    <w:rsid w:val="00BC6850"/>
    <w:rsid w:val="00BC6BAC"/>
    <w:rsid w:val="00BD2068"/>
    <w:rsid w:val="00BD3D7C"/>
    <w:rsid w:val="00BD42F4"/>
    <w:rsid w:val="00BD687F"/>
    <w:rsid w:val="00BD6A40"/>
    <w:rsid w:val="00BD7307"/>
    <w:rsid w:val="00BE0E77"/>
    <w:rsid w:val="00BE1D68"/>
    <w:rsid w:val="00BE209C"/>
    <w:rsid w:val="00BE255B"/>
    <w:rsid w:val="00BE46FC"/>
    <w:rsid w:val="00BE52E8"/>
    <w:rsid w:val="00BE5A9F"/>
    <w:rsid w:val="00BE639D"/>
    <w:rsid w:val="00BE6A7D"/>
    <w:rsid w:val="00BE6B4C"/>
    <w:rsid w:val="00BF3547"/>
    <w:rsid w:val="00BF45D5"/>
    <w:rsid w:val="00BF468A"/>
    <w:rsid w:val="00C02512"/>
    <w:rsid w:val="00C031DB"/>
    <w:rsid w:val="00C06989"/>
    <w:rsid w:val="00C10FE4"/>
    <w:rsid w:val="00C1123E"/>
    <w:rsid w:val="00C11718"/>
    <w:rsid w:val="00C11FF2"/>
    <w:rsid w:val="00C14356"/>
    <w:rsid w:val="00C16A07"/>
    <w:rsid w:val="00C173AA"/>
    <w:rsid w:val="00C17EC4"/>
    <w:rsid w:val="00C201F4"/>
    <w:rsid w:val="00C210E3"/>
    <w:rsid w:val="00C24F83"/>
    <w:rsid w:val="00C251A5"/>
    <w:rsid w:val="00C25C98"/>
    <w:rsid w:val="00C27BF1"/>
    <w:rsid w:val="00C30209"/>
    <w:rsid w:val="00C31B88"/>
    <w:rsid w:val="00C34803"/>
    <w:rsid w:val="00C34D13"/>
    <w:rsid w:val="00C410DE"/>
    <w:rsid w:val="00C43194"/>
    <w:rsid w:val="00C4348A"/>
    <w:rsid w:val="00C43956"/>
    <w:rsid w:val="00C45DAA"/>
    <w:rsid w:val="00C461C7"/>
    <w:rsid w:val="00C47731"/>
    <w:rsid w:val="00C53440"/>
    <w:rsid w:val="00C53E75"/>
    <w:rsid w:val="00C548CD"/>
    <w:rsid w:val="00C54C42"/>
    <w:rsid w:val="00C5758B"/>
    <w:rsid w:val="00C61017"/>
    <w:rsid w:val="00C61684"/>
    <w:rsid w:val="00C616AF"/>
    <w:rsid w:val="00C62958"/>
    <w:rsid w:val="00C63719"/>
    <w:rsid w:val="00C63D4F"/>
    <w:rsid w:val="00C64229"/>
    <w:rsid w:val="00C66EEF"/>
    <w:rsid w:val="00C67BD0"/>
    <w:rsid w:val="00C70556"/>
    <w:rsid w:val="00C720CD"/>
    <w:rsid w:val="00C73A63"/>
    <w:rsid w:val="00C74185"/>
    <w:rsid w:val="00C75092"/>
    <w:rsid w:val="00C75332"/>
    <w:rsid w:val="00C76435"/>
    <w:rsid w:val="00C76DE2"/>
    <w:rsid w:val="00C770E3"/>
    <w:rsid w:val="00C806A8"/>
    <w:rsid w:val="00C82CF7"/>
    <w:rsid w:val="00C853C8"/>
    <w:rsid w:val="00C863B0"/>
    <w:rsid w:val="00C90AA6"/>
    <w:rsid w:val="00C90EB0"/>
    <w:rsid w:val="00C92252"/>
    <w:rsid w:val="00C9239D"/>
    <w:rsid w:val="00C94A1C"/>
    <w:rsid w:val="00C94B1F"/>
    <w:rsid w:val="00C95F52"/>
    <w:rsid w:val="00C97074"/>
    <w:rsid w:val="00CA0D29"/>
    <w:rsid w:val="00CA0DD5"/>
    <w:rsid w:val="00CA2309"/>
    <w:rsid w:val="00CA2FEF"/>
    <w:rsid w:val="00CA6499"/>
    <w:rsid w:val="00CA7602"/>
    <w:rsid w:val="00CA7F8F"/>
    <w:rsid w:val="00CB1418"/>
    <w:rsid w:val="00CB21F4"/>
    <w:rsid w:val="00CB2298"/>
    <w:rsid w:val="00CB25CE"/>
    <w:rsid w:val="00CB2800"/>
    <w:rsid w:val="00CB7F76"/>
    <w:rsid w:val="00CC1B83"/>
    <w:rsid w:val="00CC37FD"/>
    <w:rsid w:val="00CC4EA6"/>
    <w:rsid w:val="00CD07B2"/>
    <w:rsid w:val="00CD09EB"/>
    <w:rsid w:val="00CD4331"/>
    <w:rsid w:val="00CD4DCE"/>
    <w:rsid w:val="00CE113A"/>
    <w:rsid w:val="00CE196D"/>
    <w:rsid w:val="00CE1B28"/>
    <w:rsid w:val="00CE2440"/>
    <w:rsid w:val="00CE25AA"/>
    <w:rsid w:val="00CE397C"/>
    <w:rsid w:val="00CE3C80"/>
    <w:rsid w:val="00CE6F3F"/>
    <w:rsid w:val="00CF01A8"/>
    <w:rsid w:val="00CF0C9F"/>
    <w:rsid w:val="00CF1606"/>
    <w:rsid w:val="00D013D6"/>
    <w:rsid w:val="00D02919"/>
    <w:rsid w:val="00D030D3"/>
    <w:rsid w:val="00D053BC"/>
    <w:rsid w:val="00D06956"/>
    <w:rsid w:val="00D072B9"/>
    <w:rsid w:val="00D0766D"/>
    <w:rsid w:val="00D10A0D"/>
    <w:rsid w:val="00D10FBC"/>
    <w:rsid w:val="00D11C43"/>
    <w:rsid w:val="00D14F8A"/>
    <w:rsid w:val="00D15EB5"/>
    <w:rsid w:val="00D161C8"/>
    <w:rsid w:val="00D16608"/>
    <w:rsid w:val="00D16AAF"/>
    <w:rsid w:val="00D1752A"/>
    <w:rsid w:val="00D21C37"/>
    <w:rsid w:val="00D22D0E"/>
    <w:rsid w:val="00D274CD"/>
    <w:rsid w:val="00D304FA"/>
    <w:rsid w:val="00D308C1"/>
    <w:rsid w:val="00D31F1E"/>
    <w:rsid w:val="00D33602"/>
    <w:rsid w:val="00D33CDC"/>
    <w:rsid w:val="00D359F4"/>
    <w:rsid w:val="00D36AF1"/>
    <w:rsid w:val="00D40077"/>
    <w:rsid w:val="00D422B4"/>
    <w:rsid w:val="00D4573D"/>
    <w:rsid w:val="00D46A37"/>
    <w:rsid w:val="00D5151B"/>
    <w:rsid w:val="00D5157D"/>
    <w:rsid w:val="00D51861"/>
    <w:rsid w:val="00D51D6B"/>
    <w:rsid w:val="00D52E0C"/>
    <w:rsid w:val="00D545E3"/>
    <w:rsid w:val="00D62237"/>
    <w:rsid w:val="00D62C8E"/>
    <w:rsid w:val="00D62CAC"/>
    <w:rsid w:val="00D63BD9"/>
    <w:rsid w:val="00D6459B"/>
    <w:rsid w:val="00D649FB"/>
    <w:rsid w:val="00D65A88"/>
    <w:rsid w:val="00D7131C"/>
    <w:rsid w:val="00D73650"/>
    <w:rsid w:val="00D73D12"/>
    <w:rsid w:val="00D755A2"/>
    <w:rsid w:val="00D75CD8"/>
    <w:rsid w:val="00D75F8B"/>
    <w:rsid w:val="00D811F0"/>
    <w:rsid w:val="00D81614"/>
    <w:rsid w:val="00D8186F"/>
    <w:rsid w:val="00D81998"/>
    <w:rsid w:val="00D84E58"/>
    <w:rsid w:val="00D850E7"/>
    <w:rsid w:val="00D85D5E"/>
    <w:rsid w:val="00D85F55"/>
    <w:rsid w:val="00D8749B"/>
    <w:rsid w:val="00D91A4C"/>
    <w:rsid w:val="00D92713"/>
    <w:rsid w:val="00D92EEA"/>
    <w:rsid w:val="00D92F6F"/>
    <w:rsid w:val="00D93BE6"/>
    <w:rsid w:val="00D95D23"/>
    <w:rsid w:val="00D96C1F"/>
    <w:rsid w:val="00DA1A22"/>
    <w:rsid w:val="00DA47C4"/>
    <w:rsid w:val="00DA5B64"/>
    <w:rsid w:val="00DA78F5"/>
    <w:rsid w:val="00DB2898"/>
    <w:rsid w:val="00DB3E3F"/>
    <w:rsid w:val="00DB5421"/>
    <w:rsid w:val="00DB73EF"/>
    <w:rsid w:val="00DB78E3"/>
    <w:rsid w:val="00DC03BF"/>
    <w:rsid w:val="00DC23A2"/>
    <w:rsid w:val="00DC335A"/>
    <w:rsid w:val="00DC40E0"/>
    <w:rsid w:val="00DC4D45"/>
    <w:rsid w:val="00DC606C"/>
    <w:rsid w:val="00DC7425"/>
    <w:rsid w:val="00DD06D5"/>
    <w:rsid w:val="00DD0712"/>
    <w:rsid w:val="00DD0801"/>
    <w:rsid w:val="00DD341B"/>
    <w:rsid w:val="00DD371F"/>
    <w:rsid w:val="00DD4695"/>
    <w:rsid w:val="00DD7557"/>
    <w:rsid w:val="00DD7B99"/>
    <w:rsid w:val="00DE0036"/>
    <w:rsid w:val="00DE18E5"/>
    <w:rsid w:val="00DE1E13"/>
    <w:rsid w:val="00DE2D29"/>
    <w:rsid w:val="00DE2E22"/>
    <w:rsid w:val="00DE397F"/>
    <w:rsid w:val="00DE39F8"/>
    <w:rsid w:val="00DF0F39"/>
    <w:rsid w:val="00DF460E"/>
    <w:rsid w:val="00DF4B37"/>
    <w:rsid w:val="00DF590B"/>
    <w:rsid w:val="00DF754A"/>
    <w:rsid w:val="00DF7588"/>
    <w:rsid w:val="00E00D7C"/>
    <w:rsid w:val="00E028A8"/>
    <w:rsid w:val="00E047F7"/>
    <w:rsid w:val="00E04989"/>
    <w:rsid w:val="00E05F3E"/>
    <w:rsid w:val="00E06841"/>
    <w:rsid w:val="00E104F5"/>
    <w:rsid w:val="00E10F3A"/>
    <w:rsid w:val="00E136EF"/>
    <w:rsid w:val="00E138B5"/>
    <w:rsid w:val="00E14124"/>
    <w:rsid w:val="00E14DB2"/>
    <w:rsid w:val="00E15071"/>
    <w:rsid w:val="00E164CF"/>
    <w:rsid w:val="00E16EA6"/>
    <w:rsid w:val="00E1772C"/>
    <w:rsid w:val="00E20394"/>
    <w:rsid w:val="00E20DDB"/>
    <w:rsid w:val="00E20EF5"/>
    <w:rsid w:val="00E2140D"/>
    <w:rsid w:val="00E2152E"/>
    <w:rsid w:val="00E21670"/>
    <w:rsid w:val="00E22498"/>
    <w:rsid w:val="00E25F36"/>
    <w:rsid w:val="00E266CE"/>
    <w:rsid w:val="00E31CD7"/>
    <w:rsid w:val="00E32844"/>
    <w:rsid w:val="00E43401"/>
    <w:rsid w:val="00E445B7"/>
    <w:rsid w:val="00E465E8"/>
    <w:rsid w:val="00E47D57"/>
    <w:rsid w:val="00E5265B"/>
    <w:rsid w:val="00E52E29"/>
    <w:rsid w:val="00E54718"/>
    <w:rsid w:val="00E60688"/>
    <w:rsid w:val="00E6238C"/>
    <w:rsid w:val="00E635AE"/>
    <w:rsid w:val="00E637E3"/>
    <w:rsid w:val="00E63A1F"/>
    <w:rsid w:val="00E64489"/>
    <w:rsid w:val="00E648FB"/>
    <w:rsid w:val="00E67D84"/>
    <w:rsid w:val="00E71FC6"/>
    <w:rsid w:val="00E732FD"/>
    <w:rsid w:val="00E75D57"/>
    <w:rsid w:val="00E778E5"/>
    <w:rsid w:val="00E81569"/>
    <w:rsid w:val="00E82CEA"/>
    <w:rsid w:val="00E83459"/>
    <w:rsid w:val="00E83AB0"/>
    <w:rsid w:val="00E8417A"/>
    <w:rsid w:val="00E849E5"/>
    <w:rsid w:val="00E85002"/>
    <w:rsid w:val="00E85479"/>
    <w:rsid w:val="00E85AEC"/>
    <w:rsid w:val="00E85EDB"/>
    <w:rsid w:val="00E87153"/>
    <w:rsid w:val="00E87448"/>
    <w:rsid w:val="00E92164"/>
    <w:rsid w:val="00E93C48"/>
    <w:rsid w:val="00E96AAD"/>
    <w:rsid w:val="00E96C7F"/>
    <w:rsid w:val="00E97376"/>
    <w:rsid w:val="00E974BB"/>
    <w:rsid w:val="00EA0BAD"/>
    <w:rsid w:val="00EA1CA8"/>
    <w:rsid w:val="00EA1E82"/>
    <w:rsid w:val="00EA21EF"/>
    <w:rsid w:val="00EA226A"/>
    <w:rsid w:val="00EA2A10"/>
    <w:rsid w:val="00EA5D82"/>
    <w:rsid w:val="00EA6EAC"/>
    <w:rsid w:val="00EB0106"/>
    <w:rsid w:val="00EB2F31"/>
    <w:rsid w:val="00EB4A0C"/>
    <w:rsid w:val="00EB56FB"/>
    <w:rsid w:val="00EB5E82"/>
    <w:rsid w:val="00EB6976"/>
    <w:rsid w:val="00EB7D68"/>
    <w:rsid w:val="00EB7FC4"/>
    <w:rsid w:val="00EC00BC"/>
    <w:rsid w:val="00EC0B8F"/>
    <w:rsid w:val="00EC177E"/>
    <w:rsid w:val="00EC33B4"/>
    <w:rsid w:val="00EC7C28"/>
    <w:rsid w:val="00EC7D8D"/>
    <w:rsid w:val="00ED0269"/>
    <w:rsid w:val="00ED1E1F"/>
    <w:rsid w:val="00ED7049"/>
    <w:rsid w:val="00ED7F2F"/>
    <w:rsid w:val="00EE0046"/>
    <w:rsid w:val="00EE0442"/>
    <w:rsid w:val="00EE1048"/>
    <w:rsid w:val="00EE16F1"/>
    <w:rsid w:val="00EE2EE0"/>
    <w:rsid w:val="00EE40AC"/>
    <w:rsid w:val="00EE484B"/>
    <w:rsid w:val="00EE527D"/>
    <w:rsid w:val="00EF19DB"/>
    <w:rsid w:val="00EF1F92"/>
    <w:rsid w:val="00EF31A3"/>
    <w:rsid w:val="00EF72C3"/>
    <w:rsid w:val="00F0049D"/>
    <w:rsid w:val="00F007E1"/>
    <w:rsid w:val="00F02D86"/>
    <w:rsid w:val="00F031DF"/>
    <w:rsid w:val="00F03FE8"/>
    <w:rsid w:val="00F101AF"/>
    <w:rsid w:val="00F10428"/>
    <w:rsid w:val="00F120CF"/>
    <w:rsid w:val="00F1264A"/>
    <w:rsid w:val="00F135B3"/>
    <w:rsid w:val="00F13BF1"/>
    <w:rsid w:val="00F15CA9"/>
    <w:rsid w:val="00F17985"/>
    <w:rsid w:val="00F20180"/>
    <w:rsid w:val="00F22556"/>
    <w:rsid w:val="00F23E9A"/>
    <w:rsid w:val="00F24851"/>
    <w:rsid w:val="00F25A00"/>
    <w:rsid w:val="00F25A31"/>
    <w:rsid w:val="00F271D8"/>
    <w:rsid w:val="00F2733B"/>
    <w:rsid w:val="00F302DF"/>
    <w:rsid w:val="00F3049E"/>
    <w:rsid w:val="00F31C73"/>
    <w:rsid w:val="00F3375F"/>
    <w:rsid w:val="00F347E5"/>
    <w:rsid w:val="00F352A5"/>
    <w:rsid w:val="00F35586"/>
    <w:rsid w:val="00F3597A"/>
    <w:rsid w:val="00F455DE"/>
    <w:rsid w:val="00F46296"/>
    <w:rsid w:val="00F545AF"/>
    <w:rsid w:val="00F57686"/>
    <w:rsid w:val="00F60350"/>
    <w:rsid w:val="00F63061"/>
    <w:rsid w:val="00F63518"/>
    <w:rsid w:val="00F65FEB"/>
    <w:rsid w:val="00F70035"/>
    <w:rsid w:val="00F701BA"/>
    <w:rsid w:val="00F71663"/>
    <w:rsid w:val="00F7337C"/>
    <w:rsid w:val="00F736A9"/>
    <w:rsid w:val="00F73A22"/>
    <w:rsid w:val="00F744FC"/>
    <w:rsid w:val="00F750BC"/>
    <w:rsid w:val="00F75910"/>
    <w:rsid w:val="00F77A61"/>
    <w:rsid w:val="00F80F97"/>
    <w:rsid w:val="00F846AE"/>
    <w:rsid w:val="00F84FE2"/>
    <w:rsid w:val="00F85ECC"/>
    <w:rsid w:val="00F8631F"/>
    <w:rsid w:val="00F863C8"/>
    <w:rsid w:val="00F87202"/>
    <w:rsid w:val="00F87D58"/>
    <w:rsid w:val="00F905A4"/>
    <w:rsid w:val="00F906AB"/>
    <w:rsid w:val="00F906C0"/>
    <w:rsid w:val="00F9126F"/>
    <w:rsid w:val="00F916A5"/>
    <w:rsid w:val="00F9258A"/>
    <w:rsid w:val="00F93A25"/>
    <w:rsid w:val="00F96CE2"/>
    <w:rsid w:val="00FA1911"/>
    <w:rsid w:val="00FA4D07"/>
    <w:rsid w:val="00FA6602"/>
    <w:rsid w:val="00FB0594"/>
    <w:rsid w:val="00FB0B39"/>
    <w:rsid w:val="00FB11EE"/>
    <w:rsid w:val="00FB1AA6"/>
    <w:rsid w:val="00FB298B"/>
    <w:rsid w:val="00FB37BC"/>
    <w:rsid w:val="00FB5698"/>
    <w:rsid w:val="00FB685D"/>
    <w:rsid w:val="00FB6AD8"/>
    <w:rsid w:val="00FB784A"/>
    <w:rsid w:val="00FC0474"/>
    <w:rsid w:val="00FC0884"/>
    <w:rsid w:val="00FC099E"/>
    <w:rsid w:val="00FC0DFB"/>
    <w:rsid w:val="00FC18A5"/>
    <w:rsid w:val="00FC19E6"/>
    <w:rsid w:val="00FC207A"/>
    <w:rsid w:val="00FC307C"/>
    <w:rsid w:val="00FC3CA7"/>
    <w:rsid w:val="00FC493A"/>
    <w:rsid w:val="00FC5846"/>
    <w:rsid w:val="00FD2D26"/>
    <w:rsid w:val="00FD36F0"/>
    <w:rsid w:val="00FD774A"/>
    <w:rsid w:val="00FD7B38"/>
    <w:rsid w:val="00FE0BF6"/>
    <w:rsid w:val="00FE4807"/>
    <w:rsid w:val="00FE48A8"/>
    <w:rsid w:val="00FE5E4D"/>
    <w:rsid w:val="00FE663C"/>
    <w:rsid w:val="00FE666E"/>
    <w:rsid w:val="00FF073F"/>
    <w:rsid w:val="00FF1043"/>
    <w:rsid w:val="00FF1A07"/>
    <w:rsid w:val="00FF2BE6"/>
    <w:rsid w:val="00FF2ECC"/>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5D8"/>
  </w:style>
  <w:style w:type="paragraph" w:styleId="Heading1">
    <w:name w:val="heading 1"/>
    <w:basedOn w:val="Normal"/>
    <w:next w:val="Normal"/>
    <w:qFormat/>
    <w:rsid w:val="004F55D8"/>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55D8"/>
    <w:rPr>
      <w:color w:val="0000FF"/>
      <w:u w:val="single"/>
    </w:rPr>
  </w:style>
  <w:style w:type="paragraph" w:styleId="Header">
    <w:name w:val="header"/>
    <w:basedOn w:val="Normal"/>
    <w:link w:val="HeaderChar"/>
    <w:uiPriority w:val="99"/>
    <w:rsid w:val="004F55D8"/>
    <w:pPr>
      <w:tabs>
        <w:tab w:val="center" w:pos="4320"/>
        <w:tab w:val="right" w:pos="8640"/>
      </w:tabs>
    </w:pPr>
  </w:style>
  <w:style w:type="paragraph" w:styleId="Footer">
    <w:name w:val="footer"/>
    <w:basedOn w:val="Normal"/>
    <w:link w:val="FooterChar"/>
    <w:uiPriority w:val="99"/>
    <w:rsid w:val="004F55D8"/>
    <w:pPr>
      <w:tabs>
        <w:tab w:val="center" w:pos="4320"/>
        <w:tab w:val="right" w:pos="8640"/>
      </w:tabs>
    </w:pPr>
  </w:style>
  <w:style w:type="paragraph" w:styleId="PlainText">
    <w:name w:val="Plain Text"/>
    <w:basedOn w:val="Normal"/>
    <w:rsid w:val="004F55D8"/>
    <w:rPr>
      <w:rFonts w:ascii="Courier New" w:hAnsi="Courier New" w:cs="Courier New"/>
    </w:rPr>
  </w:style>
  <w:style w:type="paragraph" w:styleId="FootnoteText">
    <w:name w:val="footnote text"/>
    <w:basedOn w:val="Normal"/>
    <w:semiHidden/>
    <w:rsid w:val="004F55D8"/>
  </w:style>
  <w:style w:type="character" w:styleId="FootnoteReference">
    <w:name w:val="footnote reference"/>
    <w:basedOn w:val="DefaultParagraphFont"/>
    <w:semiHidden/>
    <w:rsid w:val="004F55D8"/>
    <w:rPr>
      <w:vertAlign w:val="superscript"/>
    </w:rPr>
  </w:style>
  <w:style w:type="paragraph" w:styleId="BodyText">
    <w:name w:val="Body Text"/>
    <w:basedOn w:val="Normal"/>
    <w:link w:val="BodyTextChar"/>
    <w:rsid w:val="004F55D8"/>
    <w:rPr>
      <w:sz w:val="24"/>
    </w:rPr>
  </w:style>
  <w:style w:type="paragraph" w:customStyle="1" w:styleId="xl29">
    <w:name w:val="xl29"/>
    <w:basedOn w:val="Normal"/>
    <w:rsid w:val="004F55D8"/>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basedOn w:val="DefaultParagraphFont"/>
    <w:rsid w:val="004F55D8"/>
    <w:rPr>
      <w:color w:val="800080"/>
      <w:u w:val="single"/>
    </w:rPr>
  </w:style>
  <w:style w:type="table" w:styleId="TableGrid">
    <w:name w:val="Table Grid"/>
    <w:basedOn w:val="TableNormal"/>
    <w:uiPriority w:val="59"/>
    <w:rsid w:val="001F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06A0F"/>
    <w:rPr>
      <w:rFonts w:ascii="Tahoma" w:hAnsi="Tahoma" w:cs="Tahoma"/>
      <w:sz w:val="16"/>
      <w:szCs w:val="16"/>
    </w:rPr>
  </w:style>
  <w:style w:type="character" w:styleId="PageNumber">
    <w:name w:val="page number"/>
    <w:basedOn w:val="DefaultParagraphFont"/>
    <w:rsid w:val="00150FC6"/>
  </w:style>
  <w:style w:type="paragraph" w:styleId="ListParagraph">
    <w:name w:val="List Paragraph"/>
    <w:basedOn w:val="Normal"/>
    <w:uiPriority w:val="34"/>
    <w:qFormat/>
    <w:rsid w:val="00FC099E"/>
    <w:pPr>
      <w:ind w:left="720"/>
      <w:contextualSpacing/>
    </w:pPr>
  </w:style>
  <w:style w:type="character" w:customStyle="1" w:styleId="BodyTextChar">
    <w:name w:val="Body Text Char"/>
    <w:basedOn w:val="DefaultParagraphFont"/>
    <w:link w:val="BodyText"/>
    <w:rsid w:val="00A82997"/>
    <w:rPr>
      <w:sz w:val="24"/>
    </w:rPr>
  </w:style>
  <w:style w:type="character" w:customStyle="1" w:styleId="HeaderChar">
    <w:name w:val="Header Char"/>
    <w:basedOn w:val="DefaultParagraphFont"/>
    <w:link w:val="Header"/>
    <w:uiPriority w:val="99"/>
    <w:rsid w:val="00E1772C"/>
  </w:style>
  <w:style w:type="character" w:customStyle="1" w:styleId="FooterChar">
    <w:name w:val="Footer Char"/>
    <w:basedOn w:val="DefaultParagraphFont"/>
    <w:link w:val="Footer"/>
    <w:uiPriority w:val="99"/>
    <w:rsid w:val="00E1772C"/>
  </w:style>
  <w:style w:type="paragraph" w:styleId="EndnoteText">
    <w:name w:val="endnote text"/>
    <w:basedOn w:val="Normal"/>
    <w:link w:val="EndnoteTextChar"/>
    <w:rsid w:val="00507212"/>
  </w:style>
  <w:style w:type="character" w:customStyle="1" w:styleId="EndnoteTextChar">
    <w:name w:val="Endnote Text Char"/>
    <w:basedOn w:val="DefaultParagraphFont"/>
    <w:link w:val="EndnoteText"/>
    <w:rsid w:val="00507212"/>
  </w:style>
  <w:style w:type="character" w:styleId="EndnoteReference">
    <w:name w:val="endnote reference"/>
    <w:basedOn w:val="DefaultParagraphFont"/>
    <w:rsid w:val="00507212"/>
    <w:rPr>
      <w:vertAlign w:val="superscript"/>
    </w:rPr>
  </w:style>
  <w:style w:type="table" w:styleId="MediumShading1-Accent1">
    <w:name w:val="Medium Shading 1 Accent 1"/>
    <w:basedOn w:val="TableNormal"/>
    <w:uiPriority w:val="63"/>
    <w:rsid w:val="008D70F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Classic3">
    <w:name w:val="Table Classic 3"/>
    <w:basedOn w:val="TableNormal"/>
    <w:rsid w:val="00546A3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Title">
    <w:name w:val="Title"/>
    <w:basedOn w:val="Normal"/>
    <w:next w:val="Normal"/>
    <w:link w:val="TitleChar"/>
    <w:qFormat/>
    <w:rsid w:val="008A75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A757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5D8"/>
  </w:style>
  <w:style w:type="paragraph" w:styleId="Heading1">
    <w:name w:val="heading 1"/>
    <w:basedOn w:val="Normal"/>
    <w:next w:val="Normal"/>
    <w:qFormat/>
    <w:rsid w:val="004F55D8"/>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55D8"/>
    <w:rPr>
      <w:color w:val="0000FF"/>
      <w:u w:val="single"/>
    </w:rPr>
  </w:style>
  <w:style w:type="paragraph" w:styleId="Header">
    <w:name w:val="header"/>
    <w:basedOn w:val="Normal"/>
    <w:link w:val="HeaderChar"/>
    <w:uiPriority w:val="99"/>
    <w:rsid w:val="004F55D8"/>
    <w:pPr>
      <w:tabs>
        <w:tab w:val="center" w:pos="4320"/>
        <w:tab w:val="right" w:pos="8640"/>
      </w:tabs>
    </w:pPr>
  </w:style>
  <w:style w:type="paragraph" w:styleId="Footer">
    <w:name w:val="footer"/>
    <w:basedOn w:val="Normal"/>
    <w:link w:val="FooterChar"/>
    <w:uiPriority w:val="99"/>
    <w:rsid w:val="004F55D8"/>
    <w:pPr>
      <w:tabs>
        <w:tab w:val="center" w:pos="4320"/>
        <w:tab w:val="right" w:pos="8640"/>
      </w:tabs>
    </w:pPr>
  </w:style>
  <w:style w:type="paragraph" w:styleId="PlainText">
    <w:name w:val="Plain Text"/>
    <w:basedOn w:val="Normal"/>
    <w:rsid w:val="004F55D8"/>
    <w:rPr>
      <w:rFonts w:ascii="Courier New" w:hAnsi="Courier New" w:cs="Courier New"/>
    </w:rPr>
  </w:style>
  <w:style w:type="paragraph" w:styleId="FootnoteText">
    <w:name w:val="footnote text"/>
    <w:basedOn w:val="Normal"/>
    <w:semiHidden/>
    <w:rsid w:val="004F55D8"/>
  </w:style>
  <w:style w:type="character" w:styleId="FootnoteReference">
    <w:name w:val="footnote reference"/>
    <w:basedOn w:val="DefaultParagraphFont"/>
    <w:semiHidden/>
    <w:rsid w:val="004F55D8"/>
    <w:rPr>
      <w:vertAlign w:val="superscript"/>
    </w:rPr>
  </w:style>
  <w:style w:type="paragraph" w:styleId="BodyText">
    <w:name w:val="Body Text"/>
    <w:basedOn w:val="Normal"/>
    <w:link w:val="BodyTextChar"/>
    <w:rsid w:val="004F55D8"/>
    <w:rPr>
      <w:sz w:val="24"/>
    </w:rPr>
  </w:style>
  <w:style w:type="paragraph" w:customStyle="1" w:styleId="xl29">
    <w:name w:val="xl29"/>
    <w:basedOn w:val="Normal"/>
    <w:rsid w:val="004F55D8"/>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basedOn w:val="DefaultParagraphFont"/>
    <w:rsid w:val="004F55D8"/>
    <w:rPr>
      <w:color w:val="800080"/>
      <w:u w:val="single"/>
    </w:rPr>
  </w:style>
  <w:style w:type="table" w:styleId="TableGrid">
    <w:name w:val="Table Grid"/>
    <w:basedOn w:val="TableNormal"/>
    <w:uiPriority w:val="59"/>
    <w:rsid w:val="001F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06A0F"/>
    <w:rPr>
      <w:rFonts w:ascii="Tahoma" w:hAnsi="Tahoma" w:cs="Tahoma"/>
      <w:sz w:val="16"/>
      <w:szCs w:val="16"/>
    </w:rPr>
  </w:style>
  <w:style w:type="character" w:styleId="PageNumber">
    <w:name w:val="page number"/>
    <w:basedOn w:val="DefaultParagraphFont"/>
    <w:rsid w:val="00150FC6"/>
  </w:style>
  <w:style w:type="paragraph" w:styleId="ListParagraph">
    <w:name w:val="List Paragraph"/>
    <w:basedOn w:val="Normal"/>
    <w:uiPriority w:val="34"/>
    <w:qFormat/>
    <w:rsid w:val="00FC099E"/>
    <w:pPr>
      <w:ind w:left="720"/>
      <w:contextualSpacing/>
    </w:pPr>
  </w:style>
  <w:style w:type="character" w:customStyle="1" w:styleId="BodyTextChar">
    <w:name w:val="Body Text Char"/>
    <w:basedOn w:val="DefaultParagraphFont"/>
    <w:link w:val="BodyText"/>
    <w:rsid w:val="00A82997"/>
    <w:rPr>
      <w:sz w:val="24"/>
    </w:rPr>
  </w:style>
  <w:style w:type="character" w:customStyle="1" w:styleId="HeaderChar">
    <w:name w:val="Header Char"/>
    <w:basedOn w:val="DefaultParagraphFont"/>
    <w:link w:val="Header"/>
    <w:uiPriority w:val="99"/>
    <w:rsid w:val="00E1772C"/>
  </w:style>
  <w:style w:type="character" w:customStyle="1" w:styleId="FooterChar">
    <w:name w:val="Footer Char"/>
    <w:basedOn w:val="DefaultParagraphFont"/>
    <w:link w:val="Footer"/>
    <w:uiPriority w:val="99"/>
    <w:rsid w:val="00E1772C"/>
  </w:style>
  <w:style w:type="paragraph" w:styleId="EndnoteText">
    <w:name w:val="endnote text"/>
    <w:basedOn w:val="Normal"/>
    <w:link w:val="EndnoteTextChar"/>
    <w:rsid w:val="00507212"/>
  </w:style>
  <w:style w:type="character" w:customStyle="1" w:styleId="EndnoteTextChar">
    <w:name w:val="Endnote Text Char"/>
    <w:basedOn w:val="DefaultParagraphFont"/>
    <w:link w:val="EndnoteText"/>
    <w:rsid w:val="00507212"/>
  </w:style>
  <w:style w:type="character" w:styleId="EndnoteReference">
    <w:name w:val="endnote reference"/>
    <w:basedOn w:val="DefaultParagraphFont"/>
    <w:rsid w:val="00507212"/>
    <w:rPr>
      <w:vertAlign w:val="superscript"/>
    </w:rPr>
  </w:style>
  <w:style w:type="table" w:styleId="MediumShading1-Accent1">
    <w:name w:val="Medium Shading 1 Accent 1"/>
    <w:basedOn w:val="TableNormal"/>
    <w:uiPriority w:val="63"/>
    <w:rsid w:val="008D70F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Classic3">
    <w:name w:val="Table Classic 3"/>
    <w:basedOn w:val="TableNormal"/>
    <w:rsid w:val="00546A3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Title">
    <w:name w:val="Title"/>
    <w:basedOn w:val="Normal"/>
    <w:next w:val="Normal"/>
    <w:link w:val="TitleChar"/>
    <w:qFormat/>
    <w:rsid w:val="008A75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A757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0753">
      <w:bodyDiv w:val="1"/>
      <w:marLeft w:val="0"/>
      <w:marRight w:val="0"/>
      <w:marTop w:val="0"/>
      <w:marBottom w:val="0"/>
      <w:divBdr>
        <w:top w:val="none" w:sz="0" w:space="0" w:color="auto"/>
        <w:left w:val="none" w:sz="0" w:space="0" w:color="auto"/>
        <w:bottom w:val="none" w:sz="0" w:space="0" w:color="auto"/>
        <w:right w:val="none" w:sz="0" w:space="0" w:color="auto"/>
      </w:divBdr>
    </w:div>
    <w:div w:id="86049389">
      <w:bodyDiv w:val="1"/>
      <w:marLeft w:val="0"/>
      <w:marRight w:val="0"/>
      <w:marTop w:val="0"/>
      <w:marBottom w:val="0"/>
      <w:divBdr>
        <w:top w:val="none" w:sz="0" w:space="0" w:color="auto"/>
        <w:left w:val="none" w:sz="0" w:space="0" w:color="auto"/>
        <w:bottom w:val="none" w:sz="0" w:space="0" w:color="auto"/>
        <w:right w:val="none" w:sz="0" w:space="0" w:color="auto"/>
      </w:divBdr>
    </w:div>
    <w:div w:id="96564668">
      <w:bodyDiv w:val="1"/>
      <w:marLeft w:val="0"/>
      <w:marRight w:val="0"/>
      <w:marTop w:val="0"/>
      <w:marBottom w:val="0"/>
      <w:divBdr>
        <w:top w:val="none" w:sz="0" w:space="0" w:color="auto"/>
        <w:left w:val="none" w:sz="0" w:space="0" w:color="auto"/>
        <w:bottom w:val="none" w:sz="0" w:space="0" w:color="auto"/>
        <w:right w:val="none" w:sz="0" w:space="0" w:color="auto"/>
      </w:divBdr>
    </w:div>
    <w:div w:id="107940499">
      <w:bodyDiv w:val="1"/>
      <w:marLeft w:val="0"/>
      <w:marRight w:val="0"/>
      <w:marTop w:val="0"/>
      <w:marBottom w:val="0"/>
      <w:divBdr>
        <w:top w:val="none" w:sz="0" w:space="0" w:color="auto"/>
        <w:left w:val="none" w:sz="0" w:space="0" w:color="auto"/>
        <w:bottom w:val="none" w:sz="0" w:space="0" w:color="auto"/>
        <w:right w:val="none" w:sz="0" w:space="0" w:color="auto"/>
      </w:divBdr>
    </w:div>
    <w:div w:id="141850384">
      <w:bodyDiv w:val="1"/>
      <w:marLeft w:val="0"/>
      <w:marRight w:val="0"/>
      <w:marTop w:val="0"/>
      <w:marBottom w:val="0"/>
      <w:divBdr>
        <w:top w:val="none" w:sz="0" w:space="0" w:color="auto"/>
        <w:left w:val="none" w:sz="0" w:space="0" w:color="auto"/>
        <w:bottom w:val="none" w:sz="0" w:space="0" w:color="auto"/>
        <w:right w:val="none" w:sz="0" w:space="0" w:color="auto"/>
      </w:divBdr>
    </w:div>
    <w:div w:id="161286669">
      <w:bodyDiv w:val="1"/>
      <w:marLeft w:val="0"/>
      <w:marRight w:val="0"/>
      <w:marTop w:val="0"/>
      <w:marBottom w:val="0"/>
      <w:divBdr>
        <w:top w:val="none" w:sz="0" w:space="0" w:color="auto"/>
        <w:left w:val="none" w:sz="0" w:space="0" w:color="auto"/>
        <w:bottom w:val="none" w:sz="0" w:space="0" w:color="auto"/>
        <w:right w:val="none" w:sz="0" w:space="0" w:color="auto"/>
      </w:divBdr>
    </w:div>
    <w:div w:id="278922058">
      <w:bodyDiv w:val="1"/>
      <w:marLeft w:val="0"/>
      <w:marRight w:val="0"/>
      <w:marTop w:val="0"/>
      <w:marBottom w:val="0"/>
      <w:divBdr>
        <w:top w:val="none" w:sz="0" w:space="0" w:color="auto"/>
        <w:left w:val="none" w:sz="0" w:space="0" w:color="auto"/>
        <w:bottom w:val="none" w:sz="0" w:space="0" w:color="auto"/>
        <w:right w:val="none" w:sz="0" w:space="0" w:color="auto"/>
      </w:divBdr>
    </w:div>
    <w:div w:id="344140363">
      <w:bodyDiv w:val="1"/>
      <w:marLeft w:val="0"/>
      <w:marRight w:val="0"/>
      <w:marTop w:val="0"/>
      <w:marBottom w:val="0"/>
      <w:divBdr>
        <w:top w:val="none" w:sz="0" w:space="0" w:color="auto"/>
        <w:left w:val="none" w:sz="0" w:space="0" w:color="auto"/>
        <w:bottom w:val="none" w:sz="0" w:space="0" w:color="auto"/>
        <w:right w:val="none" w:sz="0" w:space="0" w:color="auto"/>
      </w:divBdr>
    </w:div>
    <w:div w:id="354813459">
      <w:bodyDiv w:val="1"/>
      <w:marLeft w:val="0"/>
      <w:marRight w:val="0"/>
      <w:marTop w:val="0"/>
      <w:marBottom w:val="0"/>
      <w:divBdr>
        <w:top w:val="none" w:sz="0" w:space="0" w:color="auto"/>
        <w:left w:val="none" w:sz="0" w:space="0" w:color="auto"/>
        <w:bottom w:val="none" w:sz="0" w:space="0" w:color="auto"/>
        <w:right w:val="none" w:sz="0" w:space="0" w:color="auto"/>
      </w:divBdr>
    </w:div>
    <w:div w:id="357975094">
      <w:bodyDiv w:val="1"/>
      <w:marLeft w:val="0"/>
      <w:marRight w:val="0"/>
      <w:marTop w:val="0"/>
      <w:marBottom w:val="0"/>
      <w:divBdr>
        <w:top w:val="none" w:sz="0" w:space="0" w:color="auto"/>
        <w:left w:val="none" w:sz="0" w:space="0" w:color="auto"/>
        <w:bottom w:val="none" w:sz="0" w:space="0" w:color="auto"/>
        <w:right w:val="none" w:sz="0" w:space="0" w:color="auto"/>
      </w:divBdr>
    </w:div>
    <w:div w:id="384063554">
      <w:bodyDiv w:val="1"/>
      <w:marLeft w:val="0"/>
      <w:marRight w:val="0"/>
      <w:marTop w:val="0"/>
      <w:marBottom w:val="0"/>
      <w:divBdr>
        <w:top w:val="none" w:sz="0" w:space="0" w:color="auto"/>
        <w:left w:val="none" w:sz="0" w:space="0" w:color="auto"/>
        <w:bottom w:val="none" w:sz="0" w:space="0" w:color="auto"/>
        <w:right w:val="none" w:sz="0" w:space="0" w:color="auto"/>
      </w:divBdr>
    </w:div>
    <w:div w:id="397940388">
      <w:bodyDiv w:val="1"/>
      <w:marLeft w:val="0"/>
      <w:marRight w:val="0"/>
      <w:marTop w:val="0"/>
      <w:marBottom w:val="0"/>
      <w:divBdr>
        <w:top w:val="none" w:sz="0" w:space="0" w:color="auto"/>
        <w:left w:val="none" w:sz="0" w:space="0" w:color="auto"/>
        <w:bottom w:val="none" w:sz="0" w:space="0" w:color="auto"/>
        <w:right w:val="none" w:sz="0" w:space="0" w:color="auto"/>
      </w:divBdr>
    </w:div>
    <w:div w:id="507258425">
      <w:bodyDiv w:val="1"/>
      <w:marLeft w:val="0"/>
      <w:marRight w:val="0"/>
      <w:marTop w:val="0"/>
      <w:marBottom w:val="0"/>
      <w:divBdr>
        <w:top w:val="none" w:sz="0" w:space="0" w:color="auto"/>
        <w:left w:val="none" w:sz="0" w:space="0" w:color="auto"/>
        <w:bottom w:val="none" w:sz="0" w:space="0" w:color="auto"/>
        <w:right w:val="none" w:sz="0" w:space="0" w:color="auto"/>
      </w:divBdr>
    </w:div>
    <w:div w:id="524364091">
      <w:bodyDiv w:val="1"/>
      <w:marLeft w:val="0"/>
      <w:marRight w:val="0"/>
      <w:marTop w:val="0"/>
      <w:marBottom w:val="0"/>
      <w:divBdr>
        <w:top w:val="none" w:sz="0" w:space="0" w:color="auto"/>
        <w:left w:val="none" w:sz="0" w:space="0" w:color="auto"/>
        <w:bottom w:val="none" w:sz="0" w:space="0" w:color="auto"/>
        <w:right w:val="none" w:sz="0" w:space="0" w:color="auto"/>
      </w:divBdr>
    </w:div>
    <w:div w:id="558828399">
      <w:bodyDiv w:val="1"/>
      <w:marLeft w:val="0"/>
      <w:marRight w:val="0"/>
      <w:marTop w:val="0"/>
      <w:marBottom w:val="0"/>
      <w:divBdr>
        <w:top w:val="none" w:sz="0" w:space="0" w:color="auto"/>
        <w:left w:val="none" w:sz="0" w:space="0" w:color="auto"/>
        <w:bottom w:val="none" w:sz="0" w:space="0" w:color="auto"/>
        <w:right w:val="none" w:sz="0" w:space="0" w:color="auto"/>
      </w:divBdr>
    </w:div>
    <w:div w:id="562716405">
      <w:bodyDiv w:val="1"/>
      <w:marLeft w:val="0"/>
      <w:marRight w:val="0"/>
      <w:marTop w:val="0"/>
      <w:marBottom w:val="0"/>
      <w:divBdr>
        <w:top w:val="none" w:sz="0" w:space="0" w:color="auto"/>
        <w:left w:val="none" w:sz="0" w:space="0" w:color="auto"/>
        <w:bottom w:val="none" w:sz="0" w:space="0" w:color="auto"/>
        <w:right w:val="none" w:sz="0" w:space="0" w:color="auto"/>
      </w:divBdr>
    </w:div>
    <w:div w:id="575629289">
      <w:bodyDiv w:val="1"/>
      <w:marLeft w:val="0"/>
      <w:marRight w:val="0"/>
      <w:marTop w:val="0"/>
      <w:marBottom w:val="0"/>
      <w:divBdr>
        <w:top w:val="none" w:sz="0" w:space="0" w:color="auto"/>
        <w:left w:val="none" w:sz="0" w:space="0" w:color="auto"/>
        <w:bottom w:val="none" w:sz="0" w:space="0" w:color="auto"/>
        <w:right w:val="none" w:sz="0" w:space="0" w:color="auto"/>
      </w:divBdr>
    </w:div>
    <w:div w:id="600333018">
      <w:bodyDiv w:val="1"/>
      <w:marLeft w:val="0"/>
      <w:marRight w:val="0"/>
      <w:marTop w:val="0"/>
      <w:marBottom w:val="0"/>
      <w:divBdr>
        <w:top w:val="none" w:sz="0" w:space="0" w:color="auto"/>
        <w:left w:val="none" w:sz="0" w:space="0" w:color="auto"/>
        <w:bottom w:val="none" w:sz="0" w:space="0" w:color="auto"/>
        <w:right w:val="none" w:sz="0" w:space="0" w:color="auto"/>
      </w:divBdr>
    </w:div>
    <w:div w:id="600383926">
      <w:bodyDiv w:val="1"/>
      <w:marLeft w:val="0"/>
      <w:marRight w:val="0"/>
      <w:marTop w:val="0"/>
      <w:marBottom w:val="0"/>
      <w:divBdr>
        <w:top w:val="none" w:sz="0" w:space="0" w:color="auto"/>
        <w:left w:val="none" w:sz="0" w:space="0" w:color="auto"/>
        <w:bottom w:val="none" w:sz="0" w:space="0" w:color="auto"/>
        <w:right w:val="none" w:sz="0" w:space="0" w:color="auto"/>
      </w:divBdr>
    </w:div>
    <w:div w:id="613445729">
      <w:bodyDiv w:val="1"/>
      <w:marLeft w:val="0"/>
      <w:marRight w:val="0"/>
      <w:marTop w:val="0"/>
      <w:marBottom w:val="0"/>
      <w:divBdr>
        <w:top w:val="none" w:sz="0" w:space="0" w:color="auto"/>
        <w:left w:val="none" w:sz="0" w:space="0" w:color="auto"/>
        <w:bottom w:val="none" w:sz="0" w:space="0" w:color="auto"/>
        <w:right w:val="none" w:sz="0" w:space="0" w:color="auto"/>
      </w:divBdr>
    </w:div>
    <w:div w:id="618608754">
      <w:bodyDiv w:val="1"/>
      <w:marLeft w:val="0"/>
      <w:marRight w:val="0"/>
      <w:marTop w:val="0"/>
      <w:marBottom w:val="0"/>
      <w:divBdr>
        <w:top w:val="none" w:sz="0" w:space="0" w:color="auto"/>
        <w:left w:val="none" w:sz="0" w:space="0" w:color="auto"/>
        <w:bottom w:val="none" w:sz="0" w:space="0" w:color="auto"/>
        <w:right w:val="none" w:sz="0" w:space="0" w:color="auto"/>
      </w:divBdr>
    </w:div>
    <w:div w:id="621887539">
      <w:bodyDiv w:val="1"/>
      <w:marLeft w:val="0"/>
      <w:marRight w:val="0"/>
      <w:marTop w:val="0"/>
      <w:marBottom w:val="0"/>
      <w:divBdr>
        <w:top w:val="none" w:sz="0" w:space="0" w:color="auto"/>
        <w:left w:val="none" w:sz="0" w:space="0" w:color="auto"/>
        <w:bottom w:val="none" w:sz="0" w:space="0" w:color="auto"/>
        <w:right w:val="none" w:sz="0" w:space="0" w:color="auto"/>
      </w:divBdr>
    </w:div>
    <w:div w:id="623969169">
      <w:bodyDiv w:val="1"/>
      <w:marLeft w:val="0"/>
      <w:marRight w:val="0"/>
      <w:marTop w:val="0"/>
      <w:marBottom w:val="0"/>
      <w:divBdr>
        <w:top w:val="none" w:sz="0" w:space="0" w:color="auto"/>
        <w:left w:val="none" w:sz="0" w:space="0" w:color="auto"/>
        <w:bottom w:val="none" w:sz="0" w:space="0" w:color="auto"/>
        <w:right w:val="none" w:sz="0" w:space="0" w:color="auto"/>
      </w:divBdr>
    </w:div>
    <w:div w:id="669138242">
      <w:bodyDiv w:val="1"/>
      <w:marLeft w:val="0"/>
      <w:marRight w:val="0"/>
      <w:marTop w:val="0"/>
      <w:marBottom w:val="0"/>
      <w:divBdr>
        <w:top w:val="none" w:sz="0" w:space="0" w:color="auto"/>
        <w:left w:val="none" w:sz="0" w:space="0" w:color="auto"/>
        <w:bottom w:val="none" w:sz="0" w:space="0" w:color="auto"/>
        <w:right w:val="none" w:sz="0" w:space="0" w:color="auto"/>
      </w:divBdr>
    </w:div>
    <w:div w:id="724647870">
      <w:bodyDiv w:val="1"/>
      <w:marLeft w:val="0"/>
      <w:marRight w:val="0"/>
      <w:marTop w:val="0"/>
      <w:marBottom w:val="0"/>
      <w:divBdr>
        <w:top w:val="none" w:sz="0" w:space="0" w:color="auto"/>
        <w:left w:val="none" w:sz="0" w:space="0" w:color="auto"/>
        <w:bottom w:val="none" w:sz="0" w:space="0" w:color="auto"/>
        <w:right w:val="none" w:sz="0" w:space="0" w:color="auto"/>
      </w:divBdr>
    </w:div>
    <w:div w:id="814493754">
      <w:bodyDiv w:val="1"/>
      <w:marLeft w:val="0"/>
      <w:marRight w:val="0"/>
      <w:marTop w:val="0"/>
      <w:marBottom w:val="0"/>
      <w:divBdr>
        <w:top w:val="none" w:sz="0" w:space="0" w:color="auto"/>
        <w:left w:val="none" w:sz="0" w:space="0" w:color="auto"/>
        <w:bottom w:val="none" w:sz="0" w:space="0" w:color="auto"/>
        <w:right w:val="none" w:sz="0" w:space="0" w:color="auto"/>
      </w:divBdr>
    </w:div>
    <w:div w:id="815225196">
      <w:bodyDiv w:val="1"/>
      <w:marLeft w:val="0"/>
      <w:marRight w:val="0"/>
      <w:marTop w:val="0"/>
      <w:marBottom w:val="0"/>
      <w:divBdr>
        <w:top w:val="none" w:sz="0" w:space="0" w:color="auto"/>
        <w:left w:val="none" w:sz="0" w:space="0" w:color="auto"/>
        <w:bottom w:val="none" w:sz="0" w:space="0" w:color="auto"/>
        <w:right w:val="none" w:sz="0" w:space="0" w:color="auto"/>
      </w:divBdr>
    </w:div>
    <w:div w:id="1021398617">
      <w:bodyDiv w:val="1"/>
      <w:marLeft w:val="0"/>
      <w:marRight w:val="0"/>
      <w:marTop w:val="0"/>
      <w:marBottom w:val="0"/>
      <w:divBdr>
        <w:top w:val="none" w:sz="0" w:space="0" w:color="auto"/>
        <w:left w:val="none" w:sz="0" w:space="0" w:color="auto"/>
        <w:bottom w:val="none" w:sz="0" w:space="0" w:color="auto"/>
        <w:right w:val="none" w:sz="0" w:space="0" w:color="auto"/>
      </w:divBdr>
    </w:div>
    <w:div w:id="1052658406">
      <w:bodyDiv w:val="1"/>
      <w:marLeft w:val="0"/>
      <w:marRight w:val="0"/>
      <w:marTop w:val="0"/>
      <w:marBottom w:val="0"/>
      <w:divBdr>
        <w:top w:val="none" w:sz="0" w:space="0" w:color="auto"/>
        <w:left w:val="none" w:sz="0" w:space="0" w:color="auto"/>
        <w:bottom w:val="none" w:sz="0" w:space="0" w:color="auto"/>
        <w:right w:val="none" w:sz="0" w:space="0" w:color="auto"/>
      </w:divBdr>
    </w:div>
    <w:div w:id="1069038616">
      <w:bodyDiv w:val="1"/>
      <w:marLeft w:val="0"/>
      <w:marRight w:val="0"/>
      <w:marTop w:val="0"/>
      <w:marBottom w:val="0"/>
      <w:divBdr>
        <w:top w:val="none" w:sz="0" w:space="0" w:color="auto"/>
        <w:left w:val="none" w:sz="0" w:space="0" w:color="auto"/>
        <w:bottom w:val="none" w:sz="0" w:space="0" w:color="auto"/>
        <w:right w:val="none" w:sz="0" w:space="0" w:color="auto"/>
      </w:divBdr>
    </w:div>
    <w:div w:id="1069960464">
      <w:bodyDiv w:val="1"/>
      <w:marLeft w:val="0"/>
      <w:marRight w:val="0"/>
      <w:marTop w:val="0"/>
      <w:marBottom w:val="0"/>
      <w:divBdr>
        <w:top w:val="none" w:sz="0" w:space="0" w:color="auto"/>
        <w:left w:val="none" w:sz="0" w:space="0" w:color="auto"/>
        <w:bottom w:val="none" w:sz="0" w:space="0" w:color="auto"/>
        <w:right w:val="none" w:sz="0" w:space="0" w:color="auto"/>
      </w:divBdr>
    </w:div>
    <w:div w:id="1082025000">
      <w:bodyDiv w:val="1"/>
      <w:marLeft w:val="0"/>
      <w:marRight w:val="0"/>
      <w:marTop w:val="0"/>
      <w:marBottom w:val="0"/>
      <w:divBdr>
        <w:top w:val="none" w:sz="0" w:space="0" w:color="auto"/>
        <w:left w:val="none" w:sz="0" w:space="0" w:color="auto"/>
        <w:bottom w:val="none" w:sz="0" w:space="0" w:color="auto"/>
        <w:right w:val="none" w:sz="0" w:space="0" w:color="auto"/>
      </w:divBdr>
    </w:div>
    <w:div w:id="1091465489">
      <w:bodyDiv w:val="1"/>
      <w:marLeft w:val="0"/>
      <w:marRight w:val="0"/>
      <w:marTop w:val="0"/>
      <w:marBottom w:val="0"/>
      <w:divBdr>
        <w:top w:val="none" w:sz="0" w:space="0" w:color="auto"/>
        <w:left w:val="none" w:sz="0" w:space="0" w:color="auto"/>
        <w:bottom w:val="none" w:sz="0" w:space="0" w:color="auto"/>
        <w:right w:val="none" w:sz="0" w:space="0" w:color="auto"/>
      </w:divBdr>
    </w:div>
    <w:div w:id="1143740185">
      <w:bodyDiv w:val="1"/>
      <w:marLeft w:val="0"/>
      <w:marRight w:val="0"/>
      <w:marTop w:val="0"/>
      <w:marBottom w:val="0"/>
      <w:divBdr>
        <w:top w:val="none" w:sz="0" w:space="0" w:color="auto"/>
        <w:left w:val="none" w:sz="0" w:space="0" w:color="auto"/>
        <w:bottom w:val="none" w:sz="0" w:space="0" w:color="auto"/>
        <w:right w:val="none" w:sz="0" w:space="0" w:color="auto"/>
      </w:divBdr>
    </w:div>
    <w:div w:id="1183469294">
      <w:bodyDiv w:val="1"/>
      <w:marLeft w:val="0"/>
      <w:marRight w:val="0"/>
      <w:marTop w:val="0"/>
      <w:marBottom w:val="0"/>
      <w:divBdr>
        <w:top w:val="none" w:sz="0" w:space="0" w:color="auto"/>
        <w:left w:val="none" w:sz="0" w:space="0" w:color="auto"/>
        <w:bottom w:val="none" w:sz="0" w:space="0" w:color="auto"/>
        <w:right w:val="none" w:sz="0" w:space="0" w:color="auto"/>
      </w:divBdr>
    </w:div>
    <w:div w:id="1244997393">
      <w:bodyDiv w:val="1"/>
      <w:marLeft w:val="0"/>
      <w:marRight w:val="0"/>
      <w:marTop w:val="0"/>
      <w:marBottom w:val="0"/>
      <w:divBdr>
        <w:top w:val="none" w:sz="0" w:space="0" w:color="auto"/>
        <w:left w:val="none" w:sz="0" w:space="0" w:color="auto"/>
        <w:bottom w:val="none" w:sz="0" w:space="0" w:color="auto"/>
        <w:right w:val="none" w:sz="0" w:space="0" w:color="auto"/>
      </w:divBdr>
    </w:div>
    <w:div w:id="1297955001">
      <w:bodyDiv w:val="1"/>
      <w:marLeft w:val="0"/>
      <w:marRight w:val="0"/>
      <w:marTop w:val="0"/>
      <w:marBottom w:val="0"/>
      <w:divBdr>
        <w:top w:val="none" w:sz="0" w:space="0" w:color="auto"/>
        <w:left w:val="none" w:sz="0" w:space="0" w:color="auto"/>
        <w:bottom w:val="none" w:sz="0" w:space="0" w:color="auto"/>
        <w:right w:val="none" w:sz="0" w:space="0" w:color="auto"/>
      </w:divBdr>
    </w:div>
    <w:div w:id="1300307822">
      <w:bodyDiv w:val="1"/>
      <w:marLeft w:val="0"/>
      <w:marRight w:val="0"/>
      <w:marTop w:val="0"/>
      <w:marBottom w:val="0"/>
      <w:divBdr>
        <w:top w:val="none" w:sz="0" w:space="0" w:color="auto"/>
        <w:left w:val="none" w:sz="0" w:space="0" w:color="auto"/>
        <w:bottom w:val="none" w:sz="0" w:space="0" w:color="auto"/>
        <w:right w:val="none" w:sz="0" w:space="0" w:color="auto"/>
      </w:divBdr>
    </w:div>
    <w:div w:id="1315642263">
      <w:bodyDiv w:val="1"/>
      <w:marLeft w:val="0"/>
      <w:marRight w:val="0"/>
      <w:marTop w:val="0"/>
      <w:marBottom w:val="0"/>
      <w:divBdr>
        <w:top w:val="none" w:sz="0" w:space="0" w:color="auto"/>
        <w:left w:val="none" w:sz="0" w:space="0" w:color="auto"/>
        <w:bottom w:val="none" w:sz="0" w:space="0" w:color="auto"/>
        <w:right w:val="none" w:sz="0" w:space="0" w:color="auto"/>
      </w:divBdr>
    </w:div>
    <w:div w:id="1325859427">
      <w:bodyDiv w:val="1"/>
      <w:marLeft w:val="0"/>
      <w:marRight w:val="0"/>
      <w:marTop w:val="0"/>
      <w:marBottom w:val="0"/>
      <w:divBdr>
        <w:top w:val="none" w:sz="0" w:space="0" w:color="auto"/>
        <w:left w:val="none" w:sz="0" w:space="0" w:color="auto"/>
        <w:bottom w:val="none" w:sz="0" w:space="0" w:color="auto"/>
        <w:right w:val="none" w:sz="0" w:space="0" w:color="auto"/>
      </w:divBdr>
    </w:div>
    <w:div w:id="1342396491">
      <w:bodyDiv w:val="1"/>
      <w:marLeft w:val="0"/>
      <w:marRight w:val="0"/>
      <w:marTop w:val="0"/>
      <w:marBottom w:val="0"/>
      <w:divBdr>
        <w:top w:val="none" w:sz="0" w:space="0" w:color="auto"/>
        <w:left w:val="none" w:sz="0" w:space="0" w:color="auto"/>
        <w:bottom w:val="none" w:sz="0" w:space="0" w:color="auto"/>
        <w:right w:val="none" w:sz="0" w:space="0" w:color="auto"/>
      </w:divBdr>
    </w:div>
    <w:div w:id="1385638915">
      <w:bodyDiv w:val="1"/>
      <w:marLeft w:val="0"/>
      <w:marRight w:val="0"/>
      <w:marTop w:val="0"/>
      <w:marBottom w:val="0"/>
      <w:divBdr>
        <w:top w:val="none" w:sz="0" w:space="0" w:color="auto"/>
        <w:left w:val="none" w:sz="0" w:space="0" w:color="auto"/>
        <w:bottom w:val="none" w:sz="0" w:space="0" w:color="auto"/>
        <w:right w:val="none" w:sz="0" w:space="0" w:color="auto"/>
      </w:divBdr>
    </w:div>
    <w:div w:id="1430739768">
      <w:bodyDiv w:val="1"/>
      <w:marLeft w:val="0"/>
      <w:marRight w:val="0"/>
      <w:marTop w:val="0"/>
      <w:marBottom w:val="0"/>
      <w:divBdr>
        <w:top w:val="none" w:sz="0" w:space="0" w:color="auto"/>
        <w:left w:val="none" w:sz="0" w:space="0" w:color="auto"/>
        <w:bottom w:val="none" w:sz="0" w:space="0" w:color="auto"/>
        <w:right w:val="none" w:sz="0" w:space="0" w:color="auto"/>
      </w:divBdr>
    </w:div>
    <w:div w:id="1446117868">
      <w:bodyDiv w:val="1"/>
      <w:marLeft w:val="0"/>
      <w:marRight w:val="0"/>
      <w:marTop w:val="0"/>
      <w:marBottom w:val="0"/>
      <w:divBdr>
        <w:top w:val="none" w:sz="0" w:space="0" w:color="auto"/>
        <w:left w:val="none" w:sz="0" w:space="0" w:color="auto"/>
        <w:bottom w:val="none" w:sz="0" w:space="0" w:color="auto"/>
        <w:right w:val="none" w:sz="0" w:space="0" w:color="auto"/>
      </w:divBdr>
    </w:div>
    <w:div w:id="1532569179">
      <w:bodyDiv w:val="1"/>
      <w:marLeft w:val="0"/>
      <w:marRight w:val="0"/>
      <w:marTop w:val="0"/>
      <w:marBottom w:val="0"/>
      <w:divBdr>
        <w:top w:val="none" w:sz="0" w:space="0" w:color="auto"/>
        <w:left w:val="none" w:sz="0" w:space="0" w:color="auto"/>
        <w:bottom w:val="none" w:sz="0" w:space="0" w:color="auto"/>
        <w:right w:val="none" w:sz="0" w:space="0" w:color="auto"/>
      </w:divBdr>
    </w:div>
    <w:div w:id="1539048873">
      <w:bodyDiv w:val="1"/>
      <w:marLeft w:val="0"/>
      <w:marRight w:val="0"/>
      <w:marTop w:val="0"/>
      <w:marBottom w:val="0"/>
      <w:divBdr>
        <w:top w:val="none" w:sz="0" w:space="0" w:color="auto"/>
        <w:left w:val="none" w:sz="0" w:space="0" w:color="auto"/>
        <w:bottom w:val="none" w:sz="0" w:space="0" w:color="auto"/>
        <w:right w:val="none" w:sz="0" w:space="0" w:color="auto"/>
      </w:divBdr>
    </w:div>
    <w:div w:id="1624193352">
      <w:bodyDiv w:val="1"/>
      <w:marLeft w:val="0"/>
      <w:marRight w:val="0"/>
      <w:marTop w:val="0"/>
      <w:marBottom w:val="0"/>
      <w:divBdr>
        <w:top w:val="none" w:sz="0" w:space="0" w:color="auto"/>
        <w:left w:val="none" w:sz="0" w:space="0" w:color="auto"/>
        <w:bottom w:val="none" w:sz="0" w:space="0" w:color="auto"/>
        <w:right w:val="none" w:sz="0" w:space="0" w:color="auto"/>
      </w:divBdr>
    </w:div>
    <w:div w:id="1625772233">
      <w:bodyDiv w:val="1"/>
      <w:marLeft w:val="0"/>
      <w:marRight w:val="0"/>
      <w:marTop w:val="0"/>
      <w:marBottom w:val="0"/>
      <w:divBdr>
        <w:top w:val="none" w:sz="0" w:space="0" w:color="auto"/>
        <w:left w:val="none" w:sz="0" w:space="0" w:color="auto"/>
        <w:bottom w:val="none" w:sz="0" w:space="0" w:color="auto"/>
        <w:right w:val="none" w:sz="0" w:space="0" w:color="auto"/>
      </w:divBdr>
    </w:div>
    <w:div w:id="1656953408">
      <w:bodyDiv w:val="1"/>
      <w:marLeft w:val="0"/>
      <w:marRight w:val="0"/>
      <w:marTop w:val="0"/>
      <w:marBottom w:val="0"/>
      <w:divBdr>
        <w:top w:val="none" w:sz="0" w:space="0" w:color="auto"/>
        <w:left w:val="none" w:sz="0" w:space="0" w:color="auto"/>
        <w:bottom w:val="none" w:sz="0" w:space="0" w:color="auto"/>
        <w:right w:val="none" w:sz="0" w:space="0" w:color="auto"/>
      </w:divBdr>
    </w:div>
    <w:div w:id="1659961449">
      <w:bodyDiv w:val="1"/>
      <w:marLeft w:val="0"/>
      <w:marRight w:val="0"/>
      <w:marTop w:val="0"/>
      <w:marBottom w:val="0"/>
      <w:divBdr>
        <w:top w:val="none" w:sz="0" w:space="0" w:color="auto"/>
        <w:left w:val="none" w:sz="0" w:space="0" w:color="auto"/>
        <w:bottom w:val="none" w:sz="0" w:space="0" w:color="auto"/>
        <w:right w:val="none" w:sz="0" w:space="0" w:color="auto"/>
      </w:divBdr>
    </w:div>
    <w:div w:id="1687902695">
      <w:bodyDiv w:val="1"/>
      <w:marLeft w:val="0"/>
      <w:marRight w:val="0"/>
      <w:marTop w:val="0"/>
      <w:marBottom w:val="0"/>
      <w:divBdr>
        <w:top w:val="none" w:sz="0" w:space="0" w:color="auto"/>
        <w:left w:val="none" w:sz="0" w:space="0" w:color="auto"/>
        <w:bottom w:val="none" w:sz="0" w:space="0" w:color="auto"/>
        <w:right w:val="none" w:sz="0" w:space="0" w:color="auto"/>
      </w:divBdr>
    </w:div>
    <w:div w:id="1771462057">
      <w:bodyDiv w:val="1"/>
      <w:marLeft w:val="0"/>
      <w:marRight w:val="0"/>
      <w:marTop w:val="0"/>
      <w:marBottom w:val="0"/>
      <w:divBdr>
        <w:top w:val="none" w:sz="0" w:space="0" w:color="auto"/>
        <w:left w:val="none" w:sz="0" w:space="0" w:color="auto"/>
        <w:bottom w:val="none" w:sz="0" w:space="0" w:color="auto"/>
        <w:right w:val="none" w:sz="0" w:space="0" w:color="auto"/>
      </w:divBdr>
    </w:div>
    <w:div w:id="1824469056">
      <w:bodyDiv w:val="1"/>
      <w:marLeft w:val="0"/>
      <w:marRight w:val="0"/>
      <w:marTop w:val="0"/>
      <w:marBottom w:val="0"/>
      <w:divBdr>
        <w:top w:val="none" w:sz="0" w:space="0" w:color="auto"/>
        <w:left w:val="none" w:sz="0" w:space="0" w:color="auto"/>
        <w:bottom w:val="none" w:sz="0" w:space="0" w:color="auto"/>
        <w:right w:val="none" w:sz="0" w:space="0" w:color="auto"/>
      </w:divBdr>
    </w:div>
    <w:div w:id="1939021051">
      <w:bodyDiv w:val="1"/>
      <w:marLeft w:val="0"/>
      <w:marRight w:val="0"/>
      <w:marTop w:val="0"/>
      <w:marBottom w:val="0"/>
      <w:divBdr>
        <w:top w:val="none" w:sz="0" w:space="0" w:color="auto"/>
        <w:left w:val="none" w:sz="0" w:space="0" w:color="auto"/>
        <w:bottom w:val="none" w:sz="0" w:space="0" w:color="auto"/>
        <w:right w:val="none" w:sz="0" w:space="0" w:color="auto"/>
      </w:divBdr>
    </w:div>
    <w:div w:id="1939288346">
      <w:bodyDiv w:val="1"/>
      <w:marLeft w:val="0"/>
      <w:marRight w:val="0"/>
      <w:marTop w:val="0"/>
      <w:marBottom w:val="0"/>
      <w:divBdr>
        <w:top w:val="none" w:sz="0" w:space="0" w:color="auto"/>
        <w:left w:val="none" w:sz="0" w:space="0" w:color="auto"/>
        <w:bottom w:val="none" w:sz="0" w:space="0" w:color="auto"/>
        <w:right w:val="none" w:sz="0" w:space="0" w:color="auto"/>
      </w:divBdr>
    </w:div>
    <w:div w:id="1943144738">
      <w:bodyDiv w:val="1"/>
      <w:marLeft w:val="0"/>
      <w:marRight w:val="0"/>
      <w:marTop w:val="0"/>
      <w:marBottom w:val="0"/>
      <w:divBdr>
        <w:top w:val="none" w:sz="0" w:space="0" w:color="auto"/>
        <w:left w:val="none" w:sz="0" w:space="0" w:color="auto"/>
        <w:bottom w:val="none" w:sz="0" w:space="0" w:color="auto"/>
        <w:right w:val="none" w:sz="0" w:space="0" w:color="auto"/>
      </w:divBdr>
    </w:div>
    <w:div w:id="1951548840">
      <w:bodyDiv w:val="1"/>
      <w:marLeft w:val="0"/>
      <w:marRight w:val="0"/>
      <w:marTop w:val="0"/>
      <w:marBottom w:val="0"/>
      <w:divBdr>
        <w:top w:val="none" w:sz="0" w:space="0" w:color="auto"/>
        <w:left w:val="none" w:sz="0" w:space="0" w:color="auto"/>
        <w:bottom w:val="none" w:sz="0" w:space="0" w:color="auto"/>
        <w:right w:val="none" w:sz="0" w:space="0" w:color="auto"/>
      </w:divBdr>
    </w:div>
    <w:div w:id="1985886789">
      <w:bodyDiv w:val="1"/>
      <w:marLeft w:val="0"/>
      <w:marRight w:val="0"/>
      <w:marTop w:val="0"/>
      <w:marBottom w:val="0"/>
      <w:divBdr>
        <w:top w:val="none" w:sz="0" w:space="0" w:color="auto"/>
        <w:left w:val="none" w:sz="0" w:space="0" w:color="auto"/>
        <w:bottom w:val="none" w:sz="0" w:space="0" w:color="auto"/>
        <w:right w:val="none" w:sz="0" w:space="0" w:color="auto"/>
      </w:divBdr>
    </w:div>
    <w:div w:id="2014912174">
      <w:bodyDiv w:val="1"/>
      <w:marLeft w:val="0"/>
      <w:marRight w:val="0"/>
      <w:marTop w:val="0"/>
      <w:marBottom w:val="0"/>
      <w:divBdr>
        <w:top w:val="none" w:sz="0" w:space="0" w:color="auto"/>
        <w:left w:val="none" w:sz="0" w:space="0" w:color="auto"/>
        <w:bottom w:val="none" w:sz="0" w:space="0" w:color="auto"/>
        <w:right w:val="none" w:sz="0" w:space="0" w:color="auto"/>
      </w:divBdr>
    </w:div>
    <w:div w:id="2044474819">
      <w:bodyDiv w:val="1"/>
      <w:marLeft w:val="0"/>
      <w:marRight w:val="0"/>
      <w:marTop w:val="0"/>
      <w:marBottom w:val="0"/>
      <w:divBdr>
        <w:top w:val="none" w:sz="0" w:space="0" w:color="auto"/>
        <w:left w:val="none" w:sz="0" w:space="0" w:color="auto"/>
        <w:bottom w:val="none" w:sz="0" w:space="0" w:color="auto"/>
        <w:right w:val="none" w:sz="0" w:space="0" w:color="auto"/>
      </w:divBdr>
    </w:div>
    <w:div w:id="2051413946">
      <w:bodyDiv w:val="1"/>
      <w:marLeft w:val="0"/>
      <w:marRight w:val="0"/>
      <w:marTop w:val="0"/>
      <w:marBottom w:val="0"/>
      <w:divBdr>
        <w:top w:val="none" w:sz="0" w:space="0" w:color="auto"/>
        <w:left w:val="none" w:sz="0" w:space="0" w:color="auto"/>
        <w:bottom w:val="none" w:sz="0" w:space="0" w:color="auto"/>
        <w:right w:val="none" w:sz="0" w:space="0" w:color="auto"/>
      </w:divBdr>
    </w:div>
    <w:div w:id="2109159638">
      <w:bodyDiv w:val="1"/>
      <w:marLeft w:val="0"/>
      <w:marRight w:val="0"/>
      <w:marTop w:val="0"/>
      <w:marBottom w:val="0"/>
      <w:divBdr>
        <w:top w:val="none" w:sz="0" w:space="0" w:color="auto"/>
        <w:left w:val="none" w:sz="0" w:space="0" w:color="auto"/>
        <w:bottom w:val="none" w:sz="0" w:space="0" w:color="auto"/>
        <w:right w:val="none" w:sz="0" w:space="0" w:color="auto"/>
      </w:divBdr>
    </w:div>
    <w:div w:id="21170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hyperlink" Target="http://www.mtsu.edu/consumer" TargetMode="External"/><Relationship Id="rId2" Type="http://schemas.openxmlformats.org/officeDocument/2006/relationships/customXml" Target="../customXml/item2.xml"/><Relationship Id="rId16" Type="http://schemas.openxmlformats.org/officeDocument/2006/relationships/hyperlink" Target="http://www.conference-boar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Tim.Graeff@mtsu.ed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nference-board.or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Middle</a:t>
            </a:r>
            <a:r>
              <a:rPr lang="en-US" baseline="0"/>
              <a:t> Tennessee Consumer Outlook Index</a:t>
            </a:r>
            <a:endParaRPr lang="en-US"/>
          </a:p>
        </c:rich>
      </c:tx>
      <c:overlay val="0"/>
    </c:title>
    <c:autoTitleDeleted val="0"/>
    <c:plotArea>
      <c:layout/>
      <c:lineChart>
        <c:grouping val="standard"/>
        <c:varyColors val="0"/>
        <c:ser>
          <c:idx val="0"/>
          <c:order val="0"/>
          <c:tx>
            <c:strRef>
              <c:f>Sheet1!$A$2</c:f>
              <c:strCache>
                <c:ptCount val="1"/>
                <c:pt idx="0">
                  <c:v>Overall Outlook Index</c:v>
                </c:pt>
              </c:strCache>
            </c:strRef>
          </c:tx>
          <c:spPr>
            <a:ln w="12700">
              <a:solidFill>
                <a:schemeClr val="tx1"/>
              </a:solidFill>
            </a:ln>
          </c:spPr>
          <c:marker>
            <c:symbol val="diamond"/>
            <c:size val="10"/>
            <c:spPr>
              <a:solidFill>
                <a:srgbClr val="0070C0"/>
              </a:solidFill>
              <a:ln>
                <a:solidFill>
                  <a:prstClr val="black"/>
                </a:solidFill>
              </a:ln>
            </c:spPr>
          </c:marker>
          <c:cat>
            <c:strRef>
              <c:f>Sheet1!$B$1:$K$1</c:f>
              <c:strCache>
                <c:ptCount val="10"/>
                <c:pt idx="0">
                  <c:v>Ap12</c:v>
                </c:pt>
                <c:pt idx="1">
                  <c:v>Se12</c:v>
                </c:pt>
                <c:pt idx="2">
                  <c:v>No12</c:v>
                </c:pt>
                <c:pt idx="3">
                  <c:v>Fe13</c:v>
                </c:pt>
                <c:pt idx="4">
                  <c:v>Ap13</c:v>
                </c:pt>
                <c:pt idx="5">
                  <c:v>Se13</c:v>
                </c:pt>
                <c:pt idx="6">
                  <c:v>De13</c:v>
                </c:pt>
                <c:pt idx="7">
                  <c:v>Fe14</c:v>
                </c:pt>
                <c:pt idx="8">
                  <c:v>Ma14</c:v>
                </c:pt>
                <c:pt idx="9">
                  <c:v>Se14</c:v>
                </c:pt>
              </c:strCache>
            </c:strRef>
          </c:cat>
          <c:val>
            <c:numRef>
              <c:f>Sheet1!$B$2:$K$2</c:f>
              <c:numCache>
                <c:formatCode>General</c:formatCode>
                <c:ptCount val="10"/>
                <c:pt idx="0">
                  <c:v>184</c:v>
                </c:pt>
                <c:pt idx="1">
                  <c:v>178</c:v>
                </c:pt>
                <c:pt idx="2">
                  <c:v>106</c:v>
                </c:pt>
                <c:pt idx="3">
                  <c:v>144</c:v>
                </c:pt>
                <c:pt idx="4">
                  <c:v>193</c:v>
                </c:pt>
                <c:pt idx="5">
                  <c:v>199</c:v>
                </c:pt>
                <c:pt idx="6">
                  <c:v>122</c:v>
                </c:pt>
                <c:pt idx="7">
                  <c:v>179</c:v>
                </c:pt>
                <c:pt idx="8">
                  <c:v>203</c:v>
                </c:pt>
                <c:pt idx="9">
                  <c:v>226</c:v>
                </c:pt>
              </c:numCache>
            </c:numRef>
          </c:val>
          <c:smooth val="0"/>
        </c:ser>
        <c:ser>
          <c:idx val="1"/>
          <c:order val="1"/>
          <c:tx>
            <c:strRef>
              <c:f>Sheet1!$A$3</c:f>
              <c:strCache>
                <c:ptCount val="1"/>
                <c:pt idx="0">
                  <c:v>Current Sit. Index</c:v>
                </c:pt>
              </c:strCache>
            </c:strRef>
          </c:tx>
          <c:spPr>
            <a:ln w="12700">
              <a:solidFill>
                <a:schemeClr val="tx1"/>
              </a:solidFill>
            </a:ln>
          </c:spPr>
          <c:marker>
            <c:symbol val="square"/>
            <c:size val="10"/>
            <c:spPr>
              <a:solidFill>
                <a:srgbClr val="C00000"/>
              </a:solidFill>
              <a:ln>
                <a:solidFill>
                  <a:prstClr val="black"/>
                </a:solidFill>
              </a:ln>
            </c:spPr>
          </c:marker>
          <c:cat>
            <c:strRef>
              <c:f>Sheet1!$B$1:$K$1</c:f>
              <c:strCache>
                <c:ptCount val="10"/>
                <c:pt idx="0">
                  <c:v>Ap12</c:v>
                </c:pt>
                <c:pt idx="1">
                  <c:v>Se12</c:v>
                </c:pt>
                <c:pt idx="2">
                  <c:v>No12</c:v>
                </c:pt>
                <c:pt idx="3">
                  <c:v>Fe13</c:v>
                </c:pt>
                <c:pt idx="4">
                  <c:v>Ap13</c:v>
                </c:pt>
                <c:pt idx="5">
                  <c:v>Se13</c:v>
                </c:pt>
                <c:pt idx="6">
                  <c:v>De13</c:v>
                </c:pt>
                <c:pt idx="7">
                  <c:v>Fe14</c:v>
                </c:pt>
                <c:pt idx="8">
                  <c:v>Ma14</c:v>
                </c:pt>
                <c:pt idx="9">
                  <c:v>Se14</c:v>
                </c:pt>
              </c:strCache>
            </c:strRef>
          </c:cat>
          <c:val>
            <c:numRef>
              <c:f>Sheet1!$B$3:$K$3</c:f>
              <c:numCache>
                <c:formatCode>General</c:formatCode>
                <c:ptCount val="10"/>
                <c:pt idx="0">
                  <c:v>-24</c:v>
                </c:pt>
                <c:pt idx="1">
                  <c:v>-26</c:v>
                </c:pt>
                <c:pt idx="2">
                  <c:v>-22</c:v>
                </c:pt>
                <c:pt idx="3">
                  <c:v>-16</c:v>
                </c:pt>
                <c:pt idx="4">
                  <c:v>1</c:v>
                </c:pt>
                <c:pt idx="5">
                  <c:v>18</c:v>
                </c:pt>
                <c:pt idx="6">
                  <c:v>3</c:v>
                </c:pt>
                <c:pt idx="7">
                  <c:v>23</c:v>
                </c:pt>
                <c:pt idx="8">
                  <c:v>38</c:v>
                </c:pt>
                <c:pt idx="9">
                  <c:v>48</c:v>
                </c:pt>
              </c:numCache>
            </c:numRef>
          </c:val>
          <c:smooth val="0"/>
        </c:ser>
        <c:ser>
          <c:idx val="2"/>
          <c:order val="2"/>
          <c:tx>
            <c:strRef>
              <c:f>Sheet1!$A$4</c:f>
              <c:strCache>
                <c:ptCount val="1"/>
                <c:pt idx="0">
                  <c:v>Future Exp. Index</c:v>
                </c:pt>
              </c:strCache>
            </c:strRef>
          </c:tx>
          <c:spPr>
            <a:ln w="12700">
              <a:solidFill>
                <a:prstClr val="black"/>
              </a:solidFill>
            </a:ln>
          </c:spPr>
          <c:marker>
            <c:symbol val="triangle"/>
            <c:size val="10"/>
            <c:spPr>
              <a:solidFill>
                <a:srgbClr val="00B050"/>
              </a:solidFill>
              <a:ln>
                <a:solidFill>
                  <a:prstClr val="black"/>
                </a:solidFill>
              </a:ln>
            </c:spPr>
          </c:marker>
          <c:cat>
            <c:strRef>
              <c:f>Sheet1!$B$1:$K$1</c:f>
              <c:strCache>
                <c:ptCount val="10"/>
                <c:pt idx="0">
                  <c:v>Ap12</c:v>
                </c:pt>
                <c:pt idx="1">
                  <c:v>Se12</c:v>
                </c:pt>
                <c:pt idx="2">
                  <c:v>No12</c:v>
                </c:pt>
                <c:pt idx="3">
                  <c:v>Fe13</c:v>
                </c:pt>
                <c:pt idx="4">
                  <c:v>Ap13</c:v>
                </c:pt>
                <c:pt idx="5">
                  <c:v>Se13</c:v>
                </c:pt>
                <c:pt idx="6">
                  <c:v>De13</c:v>
                </c:pt>
                <c:pt idx="7">
                  <c:v>Fe14</c:v>
                </c:pt>
                <c:pt idx="8">
                  <c:v>Ma14</c:v>
                </c:pt>
                <c:pt idx="9">
                  <c:v>Se14</c:v>
                </c:pt>
              </c:strCache>
            </c:strRef>
          </c:cat>
          <c:val>
            <c:numRef>
              <c:f>Sheet1!$B$4:$K$4</c:f>
              <c:numCache>
                <c:formatCode>General</c:formatCode>
                <c:ptCount val="10"/>
                <c:pt idx="0">
                  <c:v>115</c:v>
                </c:pt>
                <c:pt idx="1">
                  <c:v>112</c:v>
                </c:pt>
                <c:pt idx="2">
                  <c:v>55</c:v>
                </c:pt>
                <c:pt idx="3">
                  <c:v>78</c:v>
                </c:pt>
                <c:pt idx="4">
                  <c:v>97</c:v>
                </c:pt>
                <c:pt idx="5">
                  <c:v>86</c:v>
                </c:pt>
                <c:pt idx="6">
                  <c:v>49</c:v>
                </c:pt>
                <c:pt idx="7">
                  <c:v>85</c:v>
                </c:pt>
                <c:pt idx="8">
                  <c:v>86</c:v>
                </c:pt>
                <c:pt idx="9">
                  <c:v>80</c:v>
                </c:pt>
              </c:numCache>
            </c:numRef>
          </c:val>
          <c:smooth val="0"/>
        </c:ser>
        <c:ser>
          <c:idx val="3"/>
          <c:order val="3"/>
          <c:tx>
            <c:strRef>
              <c:f>Sheet1!$A$5</c:f>
              <c:strCache>
                <c:ptCount val="1"/>
                <c:pt idx="0">
                  <c:v>Purchasing Index</c:v>
                </c:pt>
              </c:strCache>
            </c:strRef>
          </c:tx>
          <c:spPr>
            <a:ln w="12700">
              <a:solidFill>
                <a:prstClr val="black"/>
              </a:solidFill>
            </a:ln>
          </c:spPr>
          <c:marker>
            <c:symbol val="circle"/>
            <c:size val="10"/>
            <c:spPr>
              <a:solidFill>
                <a:srgbClr val="7030A0"/>
              </a:solidFill>
              <a:ln w="12700">
                <a:solidFill>
                  <a:schemeClr val="tx1"/>
                </a:solidFill>
              </a:ln>
            </c:spPr>
          </c:marker>
          <c:cat>
            <c:strRef>
              <c:f>Sheet1!$B$1:$K$1</c:f>
              <c:strCache>
                <c:ptCount val="10"/>
                <c:pt idx="0">
                  <c:v>Ap12</c:v>
                </c:pt>
                <c:pt idx="1">
                  <c:v>Se12</c:v>
                </c:pt>
                <c:pt idx="2">
                  <c:v>No12</c:v>
                </c:pt>
                <c:pt idx="3">
                  <c:v>Fe13</c:v>
                </c:pt>
                <c:pt idx="4">
                  <c:v>Ap13</c:v>
                </c:pt>
                <c:pt idx="5">
                  <c:v>Se13</c:v>
                </c:pt>
                <c:pt idx="6">
                  <c:v>De13</c:v>
                </c:pt>
                <c:pt idx="7">
                  <c:v>Fe14</c:v>
                </c:pt>
                <c:pt idx="8">
                  <c:v>Ma14</c:v>
                </c:pt>
                <c:pt idx="9">
                  <c:v>Se14</c:v>
                </c:pt>
              </c:strCache>
            </c:strRef>
          </c:cat>
          <c:val>
            <c:numRef>
              <c:f>Sheet1!$B$5:$K$5</c:f>
              <c:numCache>
                <c:formatCode>General</c:formatCode>
                <c:ptCount val="10"/>
                <c:pt idx="0">
                  <c:v>93</c:v>
                </c:pt>
                <c:pt idx="1">
                  <c:v>92</c:v>
                </c:pt>
                <c:pt idx="2">
                  <c:v>73</c:v>
                </c:pt>
                <c:pt idx="3">
                  <c:v>82</c:v>
                </c:pt>
                <c:pt idx="4">
                  <c:v>95</c:v>
                </c:pt>
                <c:pt idx="5">
                  <c:v>95</c:v>
                </c:pt>
                <c:pt idx="6">
                  <c:v>70</c:v>
                </c:pt>
                <c:pt idx="7">
                  <c:v>71</c:v>
                </c:pt>
                <c:pt idx="8">
                  <c:v>79</c:v>
                </c:pt>
                <c:pt idx="9">
                  <c:v>98</c:v>
                </c:pt>
              </c:numCache>
            </c:numRef>
          </c:val>
          <c:smooth val="0"/>
        </c:ser>
        <c:dLbls>
          <c:showLegendKey val="0"/>
          <c:showVal val="0"/>
          <c:showCatName val="0"/>
          <c:showSerName val="0"/>
          <c:showPercent val="0"/>
          <c:showBubbleSize val="0"/>
        </c:dLbls>
        <c:marker val="1"/>
        <c:smooth val="0"/>
        <c:axId val="161757440"/>
        <c:axId val="171546112"/>
      </c:lineChart>
      <c:catAx>
        <c:axId val="161757440"/>
        <c:scaling>
          <c:orientation val="minMax"/>
        </c:scaling>
        <c:delete val="0"/>
        <c:axPos val="b"/>
        <c:numFmt formatCode="General" sourceLinked="1"/>
        <c:majorTickMark val="out"/>
        <c:minorTickMark val="none"/>
        <c:tickLblPos val="nextTo"/>
        <c:txPr>
          <a:bodyPr/>
          <a:lstStyle/>
          <a:p>
            <a:pPr>
              <a:defRPr sz="900" b="1">
                <a:latin typeface="Arial" pitchFamily="34" charset="0"/>
                <a:cs typeface="Arial" pitchFamily="34" charset="0"/>
              </a:defRPr>
            </a:pPr>
            <a:endParaRPr lang="en-US"/>
          </a:p>
        </c:txPr>
        <c:crossAx val="171546112"/>
        <c:crosses val="autoZero"/>
        <c:auto val="1"/>
        <c:lblAlgn val="ctr"/>
        <c:lblOffset val="100"/>
        <c:noMultiLvlLbl val="0"/>
      </c:catAx>
      <c:valAx>
        <c:axId val="171546112"/>
        <c:scaling>
          <c:orientation val="minMax"/>
          <c:max val="250"/>
          <c:min val="-150"/>
        </c:scaling>
        <c:delete val="0"/>
        <c:axPos val="l"/>
        <c:majorGridlines/>
        <c:numFmt formatCode="General" sourceLinked="1"/>
        <c:majorTickMark val="out"/>
        <c:minorTickMark val="none"/>
        <c:tickLblPos val="nextTo"/>
        <c:txPr>
          <a:bodyPr/>
          <a:lstStyle/>
          <a:p>
            <a:pPr>
              <a:defRPr b="1">
                <a:latin typeface="Arial" pitchFamily="34" charset="0"/>
                <a:cs typeface="Arial" pitchFamily="34" charset="0"/>
              </a:defRPr>
            </a:pPr>
            <a:endParaRPr lang="en-US"/>
          </a:p>
        </c:txPr>
        <c:crossAx val="161757440"/>
        <c:crosses val="autoZero"/>
        <c:crossBetween val="between"/>
      </c:valAx>
      <c:spPr>
        <a:ln>
          <a:noFill/>
        </a:ln>
      </c:spPr>
    </c:plotArea>
    <c:legend>
      <c:legendPos val="t"/>
      <c:overlay val="0"/>
      <c:txPr>
        <a:bodyPr/>
        <a:lstStyle/>
        <a:p>
          <a:pPr>
            <a:defRPr sz="1200"/>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a:pPr>
            <a:r>
              <a:rPr lang="en-US" sz="1200" b="1">
                <a:latin typeface="+mn-lt"/>
                <a:cs typeface="Times New Roman" pitchFamily="18" charset="0"/>
              </a:rPr>
              <a:t>Thinking</a:t>
            </a:r>
            <a:r>
              <a:rPr lang="en-US" sz="1200" b="1" baseline="0">
                <a:latin typeface="+mn-lt"/>
                <a:cs typeface="Times New Roman" pitchFamily="18" charset="0"/>
              </a:rPr>
              <a:t> about your overall level of consumer spending, d</a:t>
            </a:r>
            <a:r>
              <a:rPr lang="en-US" sz="1200" b="1">
                <a:latin typeface="+mn-lt"/>
                <a:cs typeface="Times New Roman" pitchFamily="18" charset="0"/>
              </a:rPr>
              <a:t>o you think that you will spend more, spend less, or spend about the same as</a:t>
            </a:r>
            <a:r>
              <a:rPr lang="en-US" sz="1200" b="1" baseline="0">
                <a:latin typeface="+mn-lt"/>
                <a:cs typeface="Times New Roman" pitchFamily="18" charset="0"/>
              </a:rPr>
              <a:t> you did last year?</a:t>
            </a:r>
            <a:endParaRPr lang="en-US" sz="1200" b="1">
              <a:latin typeface="+mn-lt"/>
              <a:cs typeface="Times New Roman" pitchFamily="18" charset="0"/>
            </a:endParaRPr>
          </a:p>
        </c:rich>
      </c:tx>
      <c:layout>
        <c:manualLayout>
          <c:xMode val="edge"/>
          <c:yMode val="edge"/>
          <c:x val="0.11915436461540681"/>
          <c:y val="0"/>
        </c:manualLayout>
      </c:layout>
      <c:overlay val="0"/>
    </c:title>
    <c:autoTitleDeleted val="0"/>
    <c:plotArea>
      <c:layout/>
      <c:barChart>
        <c:barDir val="col"/>
        <c:grouping val="clustered"/>
        <c:varyColors val="0"/>
        <c:ser>
          <c:idx val="0"/>
          <c:order val="0"/>
          <c:tx>
            <c:strRef>
              <c:f>Sheet1!$B$1</c:f>
              <c:strCache>
                <c:ptCount val="1"/>
                <c:pt idx="0">
                  <c:v>Sept'13</c:v>
                </c:pt>
              </c:strCache>
            </c:strRef>
          </c:tx>
          <c:spPr>
            <a:solidFill>
              <a:srgbClr val="4F81BD"/>
            </a:solidFill>
          </c:spPr>
          <c:invertIfNegative val="0"/>
          <c:dLbls>
            <c:txPr>
              <a:bodyPr/>
              <a:lstStyle/>
              <a:p>
                <a:pPr>
                  <a:defRPr sz="800"/>
                </a:pPr>
                <a:endParaRPr lang="en-US"/>
              </a:p>
            </c:txPr>
            <c:dLblPos val="outEnd"/>
            <c:showLegendKey val="0"/>
            <c:showVal val="1"/>
            <c:showCatName val="0"/>
            <c:showSerName val="0"/>
            <c:showPercent val="0"/>
            <c:showBubbleSize val="0"/>
            <c:showLeaderLines val="0"/>
          </c:dLbls>
          <c:cat>
            <c:strRef>
              <c:f>Sheet1!$A$2:$A$4</c:f>
              <c:strCache>
                <c:ptCount val="3"/>
                <c:pt idx="0">
                  <c:v>Spend Less</c:v>
                </c:pt>
                <c:pt idx="1">
                  <c:v>Same</c:v>
                </c:pt>
                <c:pt idx="2">
                  <c:v>Spend More</c:v>
                </c:pt>
              </c:strCache>
            </c:strRef>
          </c:cat>
          <c:val>
            <c:numRef>
              <c:f>Sheet1!$B$2:$B$4</c:f>
              <c:numCache>
                <c:formatCode>0%</c:formatCode>
                <c:ptCount val="3"/>
                <c:pt idx="0">
                  <c:v>0.2</c:v>
                </c:pt>
                <c:pt idx="1">
                  <c:v>0.45</c:v>
                </c:pt>
                <c:pt idx="2">
                  <c:v>0.35</c:v>
                </c:pt>
              </c:numCache>
            </c:numRef>
          </c:val>
        </c:ser>
        <c:ser>
          <c:idx val="1"/>
          <c:order val="1"/>
          <c:tx>
            <c:strRef>
              <c:f>Sheet1!$C$1</c:f>
              <c:strCache>
                <c:ptCount val="1"/>
                <c:pt idx="0">
                  <c:v>Dec'13</c:v>
                </c:pt>
              </c:strCache>
            </c:strRef>
          </c:tx>
          <c:spPr>
            <a:solidFill>
              <a:schemeClr val="accent2">
                <a:lumMod val="60000"/>
                <a:lumOff val="40000"/>
              </a:schemeClr>
            </a:solidFill>
            <a:ln w="3174"/>
          </c:spPr>
          <c:invertIfNegative val="0"/>
          <c:dLbls>
            <c:txPr>
              <a:bodyPr/>
              <a:lstStyle/>
              <a:p>
                <a:pPr>
                  <a:defRPr sz="800"/>
                </a:pPr>
                <a:endParaRPr lang="en-US"/>
              </a:p>
            </c:txPr>
            <c:dLblPos val="outEnd"/>
            <c:showLegendKey val="0"/>
            <c:showVal val="1"/>
            <c:showCatName val="0"/>
            <c:showSerName val="0"/>
            <c:showPercent val="0"/>
            <c:showBubbleSize val="0"/>
            <c:showLeaderLines val="0"/>
          </c:dLbls>
          <c:cat>
            <c:strRef>
              <c:f>Sheet1!$A$2:$A$4</c:f>
              <c:strCache>
                <c:ptCount val="3"/>
                <c:pt idx="0">
                  <c:v>Spend Less</c:v>
                </c:pt>
                <c:pt idx="1">
                  <c:v>Same</c:v>
                </c:pt>
                <c:pt idx="2">
                  <c:v>Spend More</c:v>
                </c:pt>
              </c:strCache>
            </c:strRef>
          </c:cat>
          <c:val>
            <c:numRef>
              <c:f>Sheet1!$C$2:$C$4</c:f>
              <c:numCache>
                <c:formatCode>0%</c:formatCode>
                <c:ptCount val="3"/>
                <c:pt idx="0">
                  <c:v>0.26</c:v>
                </c:pt>
                <c:pt idx="1">
                  <c:v>0.46</c:v>
                </c:pt>
                <c:pt idx="2">
                  <c:v>0.28000000000000003</c:v>
                </c:pt>
              </c:numCache>
            </c:numRef>
          </c:val>
        </c:ser>
        <c:ser>
          <c:idx val="2"/>
          <c:order val="2"/>
          <c:tx>
            <c:strRef>
              <c:f>Sheet1!$D$1</c:f>
              <c:strCache>
                <c:ptCount val="1"/>
                <c:pt idx="0">
                  <c:v>Feb'14</c:v>
                </c:pt>
              </c:strCache>
            </c:strRef>
          </c:tx>
          <c:spPr>
            <a:solidFill>
              <a:srgbClr val="9BBB59"/>
            </a:solidFill>
          </c:spPr>
          <c:invertIfNegative val="0"/>
          <c:dLbls>
            <c:txPr>
              <a:bodyPr/>
              <a:lstStyle/>
              <a:p>
                <a:pPr>
                  <a:defRPr sz="800"/>
                </a:pPr>
                <a:endParaRPr lang="en-US"/>
              </a:p>
            </c:txPr>
            <c:showLegendKey val="0"/>
            <c:showVal val="1"/>
            <c:showCatName val="0"/>
            <c:showSerName val="0"/>
            <c:showPercent val="0"/>
            <c:showBubbleSize val="0"/>
            <c:showLeaderLines val="0"/>
          </c:dLbls>
          <c:cat>
            <c:strRef>
              <c:f>Sheet1!$A$2:$A$4</c:f>
              <c:strCache>
                <c:ptCount val="3"/>
                <c:pt idx="0">
                  <c:v>Spend Less</c:v>
                </c:pt>
                <c:pt idx="1">
                  <c:v>Same</c:v>
                </c:pt>
                <c:pt idx="2">
                  <c:v>Spend More</c:v>
                </c:pt>
              </c:strCache>
            </c:strRef>
          </c:cat>
          <c:val>
            <c:numRef>
              <c:f>Sheet1!$D$2:$D$4</c:f>
              <c:numCache>
                <c:formatCode>0%</c:formatCode>
                <c:ptCount val="3"/>
                <c:pt idx="0">
                  <c:v>0.3</c:v>
                </c:pt>
                <c:pt idx="1">
                  <c:v>0.41</c:v>
                </c:pt>
                <c:pt idx="2">
                  <c:v>0.3</c:v>
                </c:pt>
              </c:numCache>
            </c:numRef>
          </c:val>
        </c:ser>
        <c:ser>
          <c:idx val="3"/>
          <c:order val="3"/>
          <c:tx>
            <c:strRef>
              <c:f>Sheet1!$E$1</c:f>
              <c:strCache>
                <c:ptCount val="1"/>
                <c:pt idx="0">
                  <c:v>May'14</c:v>
                </c:pt>
              </c:strCache>
            </c:strRef>
          </c:tx>
          <c:spPr>
            <a:solidFill>
              <a:srgbClr val="C0504D"/>
            </a:solidFill>
          </c:spPr>
          <c:invertIfNegative val="0"/>
          <c:dLbls>
            <c:txPr>
              <a:bodyPr/>
              <a:lstStyle/>
              <a:p>
                <a:pPr>
                  <a:defRPr sz="800"/>
                </a:pPr>
                <a:endParaRPr lang="en-US"/>
              </a:p>
            </c:txPr>
            <c:showLegendKey val="0"/>
            <c:showVal val="1"/>
            <c:showCatName val="0"/>
            <c:showSerName val="0"/>
            <c:showPercent val="0"/>
            <c:showBubbleSize val="0"/>
            <c:showLeaderLines val="0"/>
          </c:dLbls>
          <c:cat>
            <c:strRef>
              <c:f>Sheet1!$A$2:$A$4</c:f>
              <c:strCache>
                <c:ptCount val="3"/>
                <c:pt idx="0">
                  <c:v>Spend Less</c:v>
                </c:pt>
                <c:pt idx="1">
                  <c:v>Same</c:v>
                </c:pt>
                <c:pt idx="2">
                  <c:v>Spend More</c:v>
                </c:pt>
              </c:strCache>
            </c:strRef>
          </c:cat>
          <c:val>
            <c:numRef>
              <c:f>Sheet1!$E$2:$E$4</c:f>
              <c:numCache>
                <c:formatCode>0%</c:formatCode>
                <c:ptCount val="3"/>
                <c:pt idx="0">
                  <c:v>0.23</c:v>
                </c:pt>
                <c:pt idx="1">
                  <c:v>0.43</c:v>
                </c:pt>
                <c:pt idx="2">
                  <c:v>0.34</c:v>
                </c:pt>
              </c:numCache>
            </c:numRef>
          </c:val>
        </c:ser>
        <c:ser>
          <c:idx val="4"/>
          <c:order val="4"/>
          <c:tx>
            <c:strRef>
              <c:f>Sheet1!$F$1</c:f>
              <c:strCache>
                <c:ptCount val="1"/>
                <c:pt idx="0">
                  <c:v>Sept'14</c:v>
                </c:pt>
              </c:strCache>
            </c:strRef>
          </c:tx>
          <c:spPr>
            <a:solidFill>
              <a:srgbClr val="4BACC6"/>
            </a:solidFill>
          </c:spPr>
          <c:invertIfNegative val="0"/>
          <c:dLbls>
            <c:txPr>
              <a:bodyPr/>
              <a:lstStyle/>
              <a:p>
                <a:pPr>
                  <a:defRPr sz="800"/>
                </a:pPr>
                <a:endParaRPr lang="en-US"/>
              </a:p>
            </c:txPr>
            <c:showLegendKey val="0"/>
            <c:showVal val="1"/>
            <c:showCatName val="0"/>
            <c:showSerName val="0"/>
            <c:showPercent val="0"/>
            <c:showBubbleSize val="0"/>
            <c:showLeaderLines val="0"/>
          </c:dLbls>
          <c:cat>
            <c:strRef>
              <c:f>Sheet1!$A$2:$A$4</c:f>
              <c:strCache>
                <c:ptCount val="3"/>
                <c:pt idx="0">
                  <c:v>Spend Less</c:v>
                </c:pt>
                <c:pt idx="1">
                  <c:v>Same</c:v>
                </c:pt>
                <c:pt idx="2">
                  <c:v>Spend More</c:v>
                </c:pt>
              </c:strCache>
            </c:strRef>
          </c:cat>
          <c:val>
            <c:numRef>
              <c:f>Sheet1!$F$2:$F$4</c:f>
              <c:numCache>
                <c:formatCode>0%</c:formatCode>
                <c:ptCount val="3"/>
                <c:pt idx="0">
                  <c:v>0.2</c:v>
                </c:pt>
                <c:pt idx="1">
                  <c:v>0.46</c:v>
                </c:pt>
                <c:pt idx="2">
                  <c:v>0.34</c:v>
                </c:pt>
              </c:numCache>
            </c:numRef>
          </c:val>
        </c:ser>
        <c:dLbls>
          <c:showLegendKey val="0"/>
          <c:showVal val="1"/>
          <c:showCatName val="0"/>
          <c:showSerName val="0"/>
          <c:showPercent val="0"/>
          <c:showBubbleSize val="0"/>
        </c:dLbls>
        <c:gapWidth val="150"/>
        <c:axId val="109251200"/>
        <c:axId val="109498752"/>
      </c:barChart>
      <c:catAx>
        <c:axId val="109251200"/>
        <c:scaling>
          <c:orientation val="minMax"/>
        </c:scaling>
        <c:delete val="0"/>
        <c:axPos val="b"/>
        <c:numFmt formatCode="General" sourceLinked="1"/>
        <c:majorTickMark val="out"/>
        <c:minorTickMark val="none"/>
        <c:tickLblPos val="nextTo"/>
        <c:txPr>
          <a:bodyPr/>
          <a:lstStyle/>
          <a:p>
            <a:pPr>
              <a:defRPr b="0"/>
            </a:pPr>
            <a:endParaRPr lang="en-US"/>
          </a:p>
        </c:txPr>
        <c:crossAx val="109498752"/>
        <c:crosses val="autoZero"/>
        <c:auto val="1"/>
        <c:lblAlgn val="ctr"/>
        <c:lblOffset val="100"/>
        <c:noMultiLvlLbl val="0"/>
      </c:catAx>
      <c:valAx>
        <c:axId val="109498752"/>
        <c:scaling>
          <c:orientation val="minMax"/>
        </c:scaling>
        <c:delete val="0"/>
        <c:axPos val="l"/>
        <c:numFmt formatCode="0%" sourceLinked="1"/>
        <c:majorTickMark val="out"/>
        <c:minorTickMark val="none"/>
        <c:tickLblPos val="nextTo"/>
        <c:txPr>
          <a:bodyPr/>
          <a:lstStyle/>
          <a:p>
            <a:pPr>
              <a:defRPr b="0"/>
            </a:pPr>
            <a:endParaRPr lang="en-US"/>
          </a:p>
        </c:txPr>
        <c:crossAx val="109251200"/>
        <c:crosses val="autoZero"/>
        <c:crossBetween val="between"/>
        <c:majorUnit val="0.1"/>
      </c:valAx>
    </c:plotArea>
    <c:legend>
      <c:legendPos val="t"/>
      <c:layout>
        <c:manualLayout>
          <c:xMode val="edge"/>
          <c:yMode val="edge"/>
          <c:x val="9.2974190726159242E-2"/>
          <c:y val="0.2500636393053608"/>
          <c:w val="0.74383811172532877"/>
          <c:h val="9.0370247488741673E-2"/>
        </c:manualLayout>
      </c:layout>
      <c:overlay val="0"/>
      <c:txPr>
        <a:bodyPr/>
        <a:lstStyle/>
        <a:p>
          <a:pPr>
            <a:defRPr sz="1200" b="0"/>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8" b="1" i="0"/>
            </a:pPr>
            <a:r>
              <a:rPr lang="en-US" sz="1199" b="1" i="0"/>
              <a:t>Do</a:t>
            </a:r>
            <a:r>
              <a:rPr lang="en-US" sz="1199" b="1" i="0" baseline="0"/>
              <a:t> you think that in the next year the overall amount of taxes that you pay will increase, decrease, or stay about the same?</a:t>
            </a:r>
            <a:endParaRPr lang="en-US" sz="1200" b="1" i="0"/>
          </a:p>
        </c:rich>
      </c:tx>
      <c:layout>
        <c:manualLayout>
          <c:xMode val="edge"/>
          <c:yMode val="edge"/>
          <c:x val="0.10462387853692279"/>
          <c:y val="2.3809523809523812E-2"/>
        </c:manualLayout>
      </c:layout>
      <c:overlay val="0"/>
    </c:title>
    <c:autoTitleDeleted val="0"/>
    <c:plotArea>
      <c:layout/>
      <c:barChart>
        <c:barDir val="col"/>
        <c:grouping val="clustered"/>
        <c:varyColors val="0"/>
        <c:ser>
          <c:idx val="0"/>
          <c:order val="0"/>
          <c:tx>
            <c:strRef>
              <c:f>Sheet1!$B$1</c:f>
              <c:strCache>
                <c:ptCount val="1"/>
                <c:pt idx="0">
                  <c:v>Sept'13</c:v>
                </c:pt>
              </c:strCache>
            </c:strRef>
          </c:tx>
          <c:spPr>
            <a:solidFill>
              <a:srgbClr val="4F81BD"/>
            </a:solidFill>
          </c:spPr>
          <c:invertIfNegative val="0"/>
          <c:dLbls>
            <c:txPr>
              <a:bodyPr/>
              <a:lstStyle/>
              <a:p>
                <a:pPr>
                  <a:defRPr sz="800"/>
                </a:pPr>
                <a:endParaRPr lang="en-US"/>
              </a:p>
            </c:txPr>
            <c:showLegendKey val="0"/>
            <c:showVal val="1"/>
            <c:showCatName val="0"/>
            <c:showSerName val="0"/>
            <c:showPercent val="0"/>
            <c:showBubbleSize val="0"/>
            <c:showLeaderLines val="0"/>
          </c:dLbls>
          <c:cat>
            <c:strRef>
              <c:f>Sheet1!$A$2:$A$4</c:f>
              <c:strCache>
                <c:ptCount val="3"/>
                <c:pt idx="0">
                  <c:v>Decrease</c:v>
                </c:pt>
                <c:pt idx="1">
                  <c:v>Stay The Same</c:v>
                </c:pt>
                <c:pt idx="2">
                  <c:v>Increase</c:v>
                </c:pt>
              </c:strCache>
            </c:strRef>
          </c:cat>
          <c:val>
            <c:numRef>
              <c:f>Sheet1!$B$2:$B$4</c:f>
              <c:numCache>
                <c:formatCode>0%</c:formatCode>
                <c:ptCount val="3"/>
                <c:pt idx="0">
                  <c:v>0.04</c:v>
                </c:pt>
                <c:pt idx="1">
                  <c:v>0.32</c:v>
                </c:pt>
                <c:pt idx="2">
                  <c:v>0.64</c:v>
                </c:pt>
              </c:numCache>
            </c:numRef>
          </c:val>
        </c:ser>
        <c:ser>
          <c:idx val="1"/>
          <c:order val="1"/>
          <c:tx>
            <c:strRef>
              <c:f>Sheet1!$C$1</c:f>
              <c:strCache>
                <c:ptCount val="1"/>
                <c:pt idx="0">
                  <c:v>Dec'13</c:v>
                </c:pt>
              </c:strCache>
            </c:strRef>
          </c:tx>
          <c:spPr>
            <a:solidFill>
              <a:schemeClr val="accent2">
                <a:lumMod val="60000"/>
                <a:lumOff val="40000"/>
              </a:schemeClr>
            </a:solidFill>
          </c:spPr>
          <c:invertIfNegative val="0"/>
          <c:dLbls>
            <c:txPr>
              <a:bodyPr/>
              <a:lstStyle/>
              <a:p>
                <a:pPr>
                  <a:defRPr sz="800"/>
                </a:pPr>
                <a:endParaRPr lang="en-US"/>
              </a:p>
            </c:txPr>
            <c:showLegendKey val="0"/>
            <c:showVal val="1"/>
            <c:showCatName val="0"/>
            <c:showSerName val="0"/>
            <c:showPercent val="0"/>
            <c:showBubbleSize val="0"/>
            <c:showLeaderLines val="0"/>
          </c:dLbls>
          <c:cat>
            <c:strRef>
              <c:f>Sheet1!$A$2:$A$4</c:f>
              <c:strCache>
                <c:ptCount val="3"/>
                <c:pt idx="0">
                  <c:v>Decrease</c:v>
                </c:pt>
                <c:pt idx="1">
                  <c:v>Stay The Same</c:v>
                </c:pt>
                <c:pt idx="2">
                  <c:v>Increase</c:v>
                </c:pt>
              </c:strCache>
            </c:strRef>
          </c:cat>
          <c:val>
            <c:numRef>
              <c:f>Sheet1!$C$2:$C$4</c:f>
              <c:numCache>
                <c:formatCode>0%</c:formatCode>
                <c:ptCount val="3"/>
                <c:pt idx="0">
                  <c:v>0.03</c:v>
                </c:pt>
                <c:pt idx="1">
                  <c:v>0.28000000000000003</c:v>
                </c:pt>
                <c:pt idx="2">
                  <c:v>0.67</c:v>
                </c:pt>
              </c:numCache>
            </c:numRef>
          </c:val>
        </c:ser>
        <c:ser>
          <c:idx val="2"/>
          <c:order val="2"/>
          <c:tx>
            <c:strRef>
              <c:f>Sheet1!$D$1</c:f>
              <c:strCache>
                <c:ptCount val="1"/>
                <c:pt idx="0">
                  <c:v>Feb'14</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Sheet1!$A$2:$A$4</c:f>
              <c:strCache>
                <c:ptCount val="3"/>
                <c:pt idx="0">
                  <c:v>Decrease</c:v>
                </c:pt>
                <c:pt idx="1">
                  <c:v>Stay The Same</c:v>
                </c:pt>
                <c:pt idx="2">
                  <c:v>Increase</c:v>
                </c:pt>
              </c:strCache>
            </c:strRef>
          </c:cat>
          <c:val>
            <c:numRef>
              <c:f>Sheet1!$D$2:$D$4</c:f>
              <c:numCache>
                <c:formatCode>0%</c:formatCode>
                <c:ptCount val="3"/>
                <c:pt idx="0">
                  <c:v>0.06</c:v>
                </c:pt>
                <c:pt idx="1">
                  <c:v>0.3</c:v>
                </c:pt>
                <c:pt idx="2">
                  <c:v>0.65</c:v>
                </c:pt>
              </c:numCache>
            </c:numRef>
          </c:val>
        </c:ser>
        <c:ser>
          <c:idx val="3"/>
          <c:order val="3"/>
          <c:tx>
            <c:strRef>
              <c:f>Sheet1!$E$1</c:f>
              <c:strCache>
                <c:ptCount val="1"/>
                <c:pt idx="0">
                  <c:v>May'14</c:v>
                </c:pt>
              </c:strCache>
            </c:strRef>
          </c:tx>
          <c:spPr>
            <a:solidFill>
              <a:srgbClr val="C0504D"/>
            </a:solidFill>
          </c:spPr>
          <c:invertIfNegative val="0"/>
          <c:dLbls>
            <c:txPr>
              <a:bodyPr/>
              <a:lstStyle/>
              <a:p>
                <a:pPr>
                  <a:defRPr sz="800"/>
                </a:pPr>
                <a:endParaRPr lang="en-US"/>
              </a:p>
            </c:txPr>
            <c:showLegendKey val="0"/>
            <c:showVal val="1"/>
            <c:showCatName val="0"/>
            <c:showSerName val="0"/>
            <c:showPercent val="0"/>
            <c:showBubbleSize val="0"/>
            <c:showLeaderLines val="0"/>
          </c:dLbls>
          <c:cat>
            <c:strRef>
              <c:f>Sheet1!$A$2:$A$4</c:f>
              <c:strCache>
                <c:ptCount val="3"/>
                <c:pt idx="0">
                  <c:v>Decrease</c:v>
                </c:pt>
                <c:pt idx="1">
                  <c:v>Stay The Same</c:v>
                </c:pt>
                <c:pt idx="2">
                  <c:v>Increase</c:v>
                </c:pt>
              </c:strCache>
            </c:strRef>
          </c:cat>
          <c:val>
            <c:numRef>
              <c:f>Sheet1!$E$2:$E$4</c:f>
              <c:numCache>
                <c:formatCode>0%</c:formatCode>
                <c:ptCount val="3"/>
                <c:pt idx="0">
                  <c:v>0.05</c:v>
                </c:pt>
                <c:pt idx="1">
                  <c:v>0.33</c:v>
                </c:pt>
                <c:pt idx="2">
                  <c:v>0.62</c:v>
                </c:pt>
              </c:numCache>
            </c:numRef>
          </c:val>
        </c:ser>
        <c:ser>
          <c:idx val="4"/>
          <c:order val="4"/>
          <c:tx>
            <c:strRef>
              <c:f>Sheet1!$F$1</c:f>
              <c:strCache>
                <c:ptCount val="1"/>
                <c:pt idx="0">
                  <c:v>Sept'14</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strRef>
              <c:f>Sheet1!$A$2:$A$4</c:f>
              <c:strCache>
                <c:ptCount val="3"/>
                <c:pt idx="0">
                  <c:v>Decrease</c:v>
                </c:pt>
                <c:pt idx="1">
                  <c:v>Stay The Same</c:v>
                </c:pt>
                <c:pt idx="2">
                  <c:v>Increase</c:v>
                </c:pt>
              </c:strCache>
            </c:strRef>
          </c:cat>
          <c:val>
            <c:numRef>
              <c:f>Sheet1!$F$2:$F$4</c:f>
              <c:numCache>
                <c:formatCode>0%</c:formatCode>
                <c:ptCount val="3"/>
                <c:pt idx="0">
                  <c:v>0.05</c:v>
                </c:pt>
                <c:pt idx="1">
                  <c:v>0.45</c:v>
                </c:pt>
                <c:pt idx="2">
                  <c:v>0.5</c:v>
                </c:pt>
              </c:numCache>
            </c:numRef>
          </c:val>
        </c:ser>
        <c:dLbls>
          <c:showLegendKey val="0"/>
          <c:showVal val="1"/>
          <c:showCatName val="0"/>
          <c:showSerName val="0"/>
          <c:showPercent val="0"/>
          <c:showBubbleSize val="0"/>
        </c:dLbls>
        <c:gapWidth val="150"/>
        <c:axId val="161511296"/>
        <c:axId val="161512832"/>
      </c:barChart>
      <c:catAx>
        <c:axId val="161511296"/>
        <c:scaling>
          <c:orientation val="minMax"/>
        </c:scaling>
        <c:delete val="0"/>
        <c:axPos val="b"/>
        <c:numFmt formatCode="General" sourceLinked="1"/>
        <c:majorTickMark val="out"/>
        <c:minorTickMark val="none"/>
        <c:tickLblPos val="nextTo"/>
        <c:txPr>
          <a:bodyPr/>
          <a:lstStyle/>
          <a:p>
            <a:pPr>
              <a:defRPr b="0"/>
            </a:pPr>
            <a:endParaRPr lang="en-US"/>
          </a:p>
        </c:txPr>
        <c:crossAx val="161512832"/>
        <c:crosses val="autoZero"/>
        <c:auto val="1"/>
        <c:lblAlgn val="ctr"/>
        <c:lblOffset val="100"/>
        <c:noMultiLvlLbl val="0"/>
      </c:catAx>
      <c:valAx>
        <c:axId val="161512832"/>
        <c:scaling>
          <c:orientation val="minMax"/>
        </c:scaling>
        <c:delete val="0"/>
        <c:axPos val="l"/>
        <c:numFmt formatCode="0%" sourceLinked="1"/>
        <c:majorTickMark val="out"/>
        <c:minorTickMark val="none"/>
        <c:tickLblPos val="nextTo"/>
        <c:txPr>
          <a:bodyPr/>
          <a:lstStyle/>
          <a:p>
            <a:pPr>
              <a:defRPr b="0"/>
            </a:pPr>
            <a:endParaRPr lang="en-US"/>
          </a:p>
        </c:txPr>
        <c:crossAx val="161511296"/>
        <c:crosses val="autoZero"/>
        <c:crossBetween val="between"/>
      </c:valAx>
      <c:spPr>
        <a:ln>
          <a:noFill/>
        </a:ln>
      </c:spPr>
    </c:plotArea>
    <c:legend>
      <c:legendPos val="t"/>
      <c:overlay val="0"/>
      <c:txPr>
        <a:bodyPr/>
        <a:lstStyle/>
        <a:p>
          <a:pPr>
            <a:defRPr sz="1199" b="0"/>
          </a:pPr>
          <a:endParaRPr lang="en-US"/>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9" b="1"/>
            </a:pPr>
            <a:r>
              <a:rPr lang="en-US" sz="1199" b="1"/>
              <a:t>Do you think that 12 months from now the overall level (value) of the U.S. Stock Market will be higher than it is today, lower than it is today,</a:t>
            </a:r>
            <a:r>
              <a:rPr lang="en-US" sz="1199" b="1" baseline="0"/>
              <a:t> or about the same?</a:t>
            </a:r>
            <a:endParaRPr lang="en-US" sz="1200" b="1"/>
          </a:p>
        </c:rich>
      </c:tx>
      <c:layout>
        <c:manualLayout>
          <c:xMode val="edge"/>
          <c:yMode val="edge"/>
          <c:x val="9.4937033270487567E-2"/>
          <c:y val="0"/>
        </c:manualLayout>
      </c:layout>
      <c:overlay val="0"/>
    </c:title>
    <c:autoTitleDeleted val="0"/>
    <c:plotArea>
      <c:layout/>
      <c:barChart>
        <c:barDir val="col"/>
        <c:grouping val="clustered"/>
        <c:varyColors val="0"/>
        <c:ser>
          <c:idx val="0"/>
          <c:order val="0"/>
          <c:tx>
            <c:strRef>
              <c:f>Sheet1!$B$1</c:f>
              <c:strCache>
                <c:ptCount val="1"/>
                <c:pt idx="0">
                  <c:v>Sept'13</c:v>
                </c:pt>
              </c:strCache>
            </c:strRef>
          </c:tx>
          <c:invertIfNegative val="0"/>
          <c:cat>
            <c:strRef>
              <c:f>Sheet1!$A$2:$A$4</c:f>
              <c:strCache>
                <c:ptCount val="3"/>
                <c:pt idx="0">
                  <c:v>Lower</c:v>
                </c:pt>
                <c:pt idx="1">
                  <c:v>Same</c:v>
                </c:pt>
                <c:pt idx="2">
                  <c:v>Higher</c:v>
                </c:pt>
              </c:strCache>
            </c:strRef>
          </c:cat>
          <c:val>
            <c:numRef>
              <c:f>Sheet1!$B$2:$B$4</c:f>
              <c:numCache>
                <c:formatCode>0%</c:formatCode>
                <c:ptCount val="3"/>
                <c:pt idx="0">
                  <c:v>0.18</c:v>
                </c:pt>
                <c:pt idx="1">
                  <c:v>0.49</c:v>
                </c:pt>
                <c:pt idx="2">
                  <c:v>0.33</c:v>
                </c:pt>
              </c:numCache>
            </c:numRef>
          </c:val>
        </c:ser>
        <c:ser>
          <c:idx val="1"/>
          <c:order val="1"/>
          <c:tx>
            <c:strRef>
              <c:f>Sheet1!$C$1</c:f>
              <c:strCache>
                <c:ptCount val="1"/>
                <c:pt idx="0">
                  <c:v>Dec'13</c:v>
                </c:pt>
              </c:strCache>
            </c:strRef>
          </c:tx>
          <c:spPr>
            <a:solidFill>
              <a:srgbClr val="C0504D">
                <a:lumMod val="60000"/>
                <a:lumOff val="40000"/>
              </a:srgbClr>
            </a:solidFill>
          </c:spPr>
          <c:invertIfNegative val="0"/>
          <c:cat>
            <c:strRef>
              <c:f>Sheet1!$A$2:$A$4</c:f>
              <c:strCache>
                <c:ptCount val="3"/>
                <c:pt idx="0">
                  <c:v>Lower</c:v>
                </c:pt>
                <c:pt idx="1">
                  <c:v>Same</c:v>
                </c:pt>
                <c:pt idx="2">
                  <c:v>Higher</c:v>
                </c:pt>
              </c:strCache>
            </c:strRef>
          </c:cat>
          <c:val>
            <c:numRef>
              <c:f>Sheet1!$C$2:$C$4</c:f>
              <c:numCache>
                <c:formatCode>0%</c:formatCode>
                <c:ptCount val="3"/>
                <c:pt idx="0">
                  <c:v>0.28999999999999998</c:v>
                </c:pt>
                <c:pt idx="1">
                  <c:v>0.42</c:v>
                </c:pt>
                <c:pt idx="2">
                  <c:v>0.3</c:v>
                </c:pt>
              </c:numCache>
            </c:numRef>
          </c:val>
        </c:ser>
        <c:ser>
          <c:idx val="2"/>
          <c:order val="2"/>
          <c:tx>
            <c:strRef>
              <c:f>Sheet1!$D$1</c:f>
              <c:strCache>
                <c:ptCount val="1"/>
                <c:pt idx="0">
                  <c:v>Feb'14</c:v>
                </c:pt>
              </c:strCache>
            </c:strRef>
          </c:tx>
          <c:spPr>
            <a:solidFill>
              <a:srgbClr val="9BBB59"/>
            </a:solidFill>
          </c:spPr>
          <c:invertIfNegative val="0"/>
          <c:cat>
            <c:strRef>
              <c:f>Sheet1!$A$2:$A$4</c:f>
              <c:strCache>
                <c:ptCount val="3"/>
                <c:pt idx="0">
                  <c:v>Lower</c:v>
                </c:pt>
                <c:pt idx="1">
                  <c:v>Same</c:v>
                </c:pt>
                <c:pt idx="2">
                  <c:v>Higher</c:v>
                </c:pt>
              </c:strCache>
            </c:strRef>
          </c:cat>
          <c:val>
            <c:numRef>
              <c:f>Sheet1!$D$2:$D$4</c:f>
              <c:numCache>
                <c:formatCode>0%</c:formatCode>
                <c:ptCount val="3"/>
                <c:pt idx="0">
                  <c:v>0.24</c:v>
                </c:pt>
                <c:pt idx="1">
                  <c:v>0.45</c:v>
                </c:pt>
                <c:pt idx="2">
                  <c:v>0.31</c:v>
                </c:pt>
              </c:numCache>
            </c:numRef>
          </c:val>
        </c:ser>
        <c:ser>
          <c:idx val="3"/>
          <c:order val="3"/>
          <c:tx>
            <c:strRef>
              <c:f>Sheet1!$E$1</c:f>
              <c:strCache>
                <c:ptCount val="1"/>
                <c:pt idx="0">
                  <c:v>May'14</c:v>
                </c:pt>
              </c:strCache>
            </c:strRef>
          </c:tx>
          <c:spPr>
            <a:solidFill>
              <a:srgbClr val="C0504D"/>
            </a:solidFill>
          </c:spPr>
          <c:invertIfNegative val="0"/>
          <c:cat>
            <c:strRef>
              <c:f>Sheet1!$A$2:$A$4</c:f>
              <c:strCache>
                <c:ptCount val="3"/>
                <c:pt idx="0">
                  <c:v>Lower</c:v>
                </c:pt>
                <c:pt idx="1">
                  <c:v>Same</c:v>
                </c:pt>
                <c:pt idx="2">
                  <c:v>Higher</c:v>
                </c:pt>
              </c:strCache>
            </c:strRef>
          </c:cat>
          <c:val>
            <c:numRef>
              <c:f>Sheet1!$E$2:$E$4</c:f>
              <c:numCache>
                <c:formatCode>0%</c:formatCode>
                <c:ptCount val="3"/>
                <c:pt idx="0">
                  <c:v>0.17</c:v>
                </c:pt>
                <c:pt idx="1">
                  <c:v>0.45</c:v>
                </c:pt>
                <c:pt idx="2">
                  <c:v>0.38</c:v>
                </c:pt>
              </c:numCache>
            </c:numRef>
          </c:val>
        </c:ser>
        <c:ser>
          <c:idx val="4"/>
          <c:order val="4"/>
          <c:tx>
            <c:strRef>
              <c:f>Sheet1!$F$1</c:f>
              <c:strCache>
                <c:ptCount val="1"/>
                <c:pt idx="0">
                  <c:v>Sept'14</c:v>
                </c:pt>
              </c:strCache>
            </c:strRef>
          </c:tx>
          <c:spPr>
            <a:solidFill>
              <a:srgbClr val="4BACC6"/>
            </a:solidFill>
          </c:spPr>
          <c:invertIfNegative val="0"/>
          <c:cat>
            <c:strRef>
              <c:f>Sheet1!$A$2:$A$4</c:f>
              <c:strCache>
                <c:ptCount val="3"/>
                <c:pt idx="0">
                  <c:v>Lower</c:v>
                </c:pt>
                <c:pt idx="1">
                  <c:v>Same</c:v>
                </c:pt>
                <c:pt idx="2">
                  <c:v>Higher</c:v>
                </c:pt>
              </c:strCache>
            </c:strRef>
          </c:cat>
          <c:val>
            <c:numRef>
              <c:f>Sheet1!$F$2:$F$4</c:f>
              <c:numCache>
                <c:formatCode>0%</c:formatCode>
                <c:ptCount val="3"/>
                <c:pt idx="0">
                  <c:v>0.21</c:v>
                </c:pt>
                <c:pt idx="1">
                  <c:v>0.47</c:v>
                </c:pt>
                <c:pt idx="2">
                  <c:v>0.21</c:v>
                </c:pt>
              </c:numCache>
            </c:numRef>
          </c:val>
        </c:ser>
        <c:dLbls>
          <c:showLegendKey val="0"/>
          <c:showVal val="1"/>
          <c:showCatName val="0"/>
          <c:showSerName val="0"/>
          <c:showPercent val="0"/>
          <c:showBubbleSize val="0"/>
        </c:dLbls>
        <c:gapWidth val="150"/>
        <c:axId val="161584256"/>
        <c:axId val="161585792"/>
      </c:barChart>
      <c:catAx>
        <c:axId val="161584256"/>
        <c:scaling>
          <c:orientation val="minMax"/>
        </c:scaling>
        <c:delete val="0"/>
        <c:axPos val="b"/>
        <c:numFmt formatCode="General" sourceLinked="1"/>
        <c:majorTickMark val="out"/>
        <c:minorTickMark val="none"/>
        <c:tickLblPos val="nextTo"/>
        <c:txPr>
          <a:bodyPr/>
          <a:lstStyle/>
          <a:p>
            <a:pPr>
              <a:defRPr b="0"/>
            </a:pPr>
            <a:endParaRPr lang="en-US"/>
          </a:p>
        </c:txPr>
        <c:crossAx val="161585792"/>
        <c:crosses val="autoZero"/>
        <c:auto val="1"/>
        <c:lblAlgn val="ctr"/>
        <c:lblOffset val="100"/>
        <c:noMultiLvlLbl val="0"/>
      </c:catAx>
      <c:valAx>
        <c:axId val="161585792"/>
        <c:scaling>
          <c:orientation val="minMax"/>
        </c:scaling>
        <c:delete val="0"/>
        <c:axPos val="l"/>
        <c:numFmt formatCode="0%" sourceLinked="1"/>
        <c:majorTickMark val="out"/>
        <c:minorTickMark val="none"/>
        <c:tickLblPos val="nextTo"/>
        <c:txPr>
          <a:bodyPr/>
          <a:lstStyle/>
          <a:p>
            <a:pPr>
              <a:defRPr b="0"/>
            </a:pPr>
            <a:endParaRPr lang="en-US"/>
          </a:p>
        </c:txPr>
        <c:crossAx val="161584256"/>
        <c:crosses val="autoZero"/>
        <c:crossBetween val="between"/>
        <c:majorUnit val="0.1"/>
      </c:valAx>
    </c:plotArea>
    <c:legend>
      <c:legendPos val="t"/>
      <c:overlay val="0"/>
      <c:txPr>
        <a:bodyPr/>
        <a:lstStyle/>
        <a:p>
          <a:pPr>
            <a:defRPr sz="1199" b="0"/>
          </a:pPr>
          <a:endParaRPr lang="en-US"/>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Sheet1!$A$2</c:f>
              <c:strCache>
                <c:ptCount val="1"/>
                <c:pt idx="0">
                  <c:v>Overall Outlook Index</c:v>
                </c:pt>
              </c:strCache>
            </c:strRef>
          </c:tx>
          <c:marker>
            <c:symbol val="diamond"/>
            <c:size val="9"/>
          </c:marker>
          <c:cat>
            <c:strRef>
              <c:f>Sheet1!$B$1:$BP$1</c:f>
              <c:strCache>
                <c:ptCount val="67"/>
                <c:pt idx="0">
                  <c:v>N00</c:v>
                </c:pt>
                <c:pt idx="1">
                  <c:v>F01</c:v>
                </c:pt>
                <c:pt idx="2">
                  <c:v>M01</c:v>
                </c:pt>
                <c:pt idx="3">
                  <c:v>Ju01</c:v>
                </c:pt>
                <c:pt idx="4">
                  <c:v>O01</c:v>
                </c:pt>
                <c:pt idx="5">
                  <c:v>N01</c:v>
                </c:pt>
                <c:pt idx="6">
                  <c:v>F02</c:v>
                </c:pt>
                <c:pt idx="7">
                  <c:v>Ap02</c:v>
                </c:pt>
                <c:pt idx="8">
                  <c:v>Au02</c:v>
                </c:pt>
                <c:pt idx="9">
                  <c:v>Oc02</c:v>
                </c:pt>
                <c:pt idx="10">
                  <c:v>N02</c:v>
                </c:pt>
                <c:pt idx="11">
                  <c:v>F03</c:v>
                </c:pt>
                <c:pt idx="12">
                  <c:v>Ap03</c:v>
                </c:pt>
                <c:pt idx="13">
                  <c:v>Ju03</c:v>
                </c:pt>
                <c:pt idx="14">
                  <c:v>Se03</c:v>
                </c:pt>
                <c:pt idx="15">
                  <c:v>De03</c:v>
                </c:pt>
                <c:pt idx="16">
                  <c:v>Ja04</c:v>
                </c:pt>
                <c:pt idx="17">
                  <c:v>Ap04</c:v>
                </c:pt>
                <c:pt idx="18">
                  <c:v>Ju04</c:v>
                </c:pt>
                <c:pt idx="19">
                  <c:v>Se04</c:v>
                </c:pt>
                <c:pt idx="20">
                  <c:v>De04</c:v>
                </c:pt>
                <c:pt idx="21">
                  <c:v>Fe05</c:v>
                </c:pt>
                <c:pt idx="22">
                  <c:v>Ap05</c:v>
                </c:pt>
                <c:pt idx="23">
                  <c:v>Ma05</c:v>
                </c:pt>
                <c:pt idx="24">
                  <c:v>Se05</c:v>
                </c:pt>
                <c:pt idx="25">
                  <c:v>No05</c:v>
                </c:pt>
                <c:pt idx="26">
                  <c:v>Fe06</c:v>
                </c:pt>
                <c:pt idx="27">
                  <c:v>Ap06</c:v>
                </c:pt>
                <c:pt idx="28">
                  <c:v>Ma06</c:v>
                </c:pt>
                <c:pt idx="29">
                  <c:v>Se06</c:v>
                </c:pt>
                <c:pt idx="30">
                  <c:v>De06</c:v>
                </c:pt>
                <c:pt idx="31">
                  <c:v>Fe07</c:v>
                </c:pt>
                <c:pt idx="32">
                  <c:v>Ap07</c:v>
                </c:pt>
                <c:pt idx="33">
                  <c:v>Ma07</c:v>
                </c:pt>
                <c:pt idx="34">
                  <c:v>Se07</c:v>
                </c:pt>
                <c:pt idx="35">
                  <c:v>No07</c:v>
                </c:pt>
                <c:pt idx="36">
                  <c:v>Fe08</c:v>
                </c:pt>
                <c:pt idx="37">
                  <c:v>Ap08</c:v>
                </c:pt>
                <c:pt idx="38">
                  <c:v>Ma08</c:v>
                </c:pt>
                <c:pt idx="39">
                  <c:v>Oc08</c:v>
                </c:pt>
                <c:pt idx="40">
                  <c:v>De08</c:v>
                </c:pt>
                <c:pt idx="41">
                  <c:v>Fe09</c:v>
                </c:pt>
                <c:pt idx="42">
                  <c:v>Ap09</c:v>
                </c:pt>
                <c:pt idx="43">
                  <c:v>Ma09</c:v>
                </c:pt>
                <c:pt idx="44">
                  <c:v>Se09</c:v>
                </c:pt>
                <c:pt idx="45">
                  <c:v>De09</c:v>
                </c:pt>
                <c:pt idx="46">
                  <c:v>Fe10</c:v>
                </c:pt>
                <c:pt idx="47">
                  <c:v>Ap10</c:v>
                </c:pt>
                <c:pt idx="48">
                  <c:v>Ju10</c:v>
                </c:pt>
                <c:pt idx="49">
                  <c:v>Se10</c:v>
                </c:pt>
                <c:pt idx="50">
                  <c:v>De10</c:v>
                </c:pt>
                <c:pt idx="51">
                  <c:v>Fe11</c:v>
                </c:pt>
                <c:pt idx="52">
                  <c:v>Ap11</c:v>
                </c:pt>
                <c:pt idx="53">
                  <c:v>Ma11</c:v>
                </c:pt>
                <c:pt idx="54">
                  <c:v>Se11</c:v>
                </c:pt>
                <c:pt idx="55">
                  <c:v>De11</c:v>
                </c:pt>
                <c:pt idx="56">
                  <c:v>Ja12</c:v>
                </c:pt>
                <c:pt idx="57">
                  <c:v>Ap12</c:v>
                </c:pt>
                <c:pt idx="58">
                  <c:v>Se12</c:v>
                </c:pt>
                <c:pt idx="59">
                  <c:v>No12</c:v>
                </c:pt>
                <c:pt idx="60">
                  <c:v>Fe13</c:v>
                </c:pt>
                <c:pt idx="61">
                  <c:v>Ap13</c:v>
                </c:pt>
                <c:pt idx="62">
                  <c:v>Se13</c:v>
                </c:pt>
                <c:pt idx="63">
                  <c:v>De13</c:v>
                </c:pt>
                <c:pt idx="64">
                  <c:v>Fe14</c:v>
                </c:pt>
                <c:pt idx="65">
                  <c:v>Ma14</c:v>
                </c:pt>
                <c:pt idx="66">
                  <c:v>Se14</c:v>
                </c:pt>
              </c:strCache>
            </c:strRef>
          </c:cat>
          <c:val>
            <c:numRef>
              <c:f>Sheet1!$B$2:$BP$2</c:f>
              <c:numCache>
                <c:formatCode>General</c:formatCode>
                <c:ptCount val="67"/>
                <c:pt idx="0" formatCode="0">
                  <c:v>361.1</c:v>
                </c:pt>
                <c:pt idx="1">
                  <c:v>312.3</c:v>
                </c:pt>
                <c:pt idx="2">
                  <c:v>326.60000000000002</c:v>
                </c:pt>
                <c:pt idx="3">
                  <c:v>299.3</c:v>
                </c:pt>
                <c:pt idx="4">
                  <c:v>315</c:v>
                </c:pt>
                <c:pt idx="5">
                  <c:v>368</c:v>
                </c:pt>
                <c:pt idx="6">
                  <c:v>328.2</c:v>
                </c:pt>
                <c:pt idx="7">
                  <c:v>326</c:v>
                </c:pt>
                <c:pt idx="8">
                  <c:v>269</c:v>
                </c:pt>
                <c:pt idx="9">
                  <c:v>227</c:v>
                </c:pt>
                <c:pt idx="10" formatCode="0">
                  <c:v>286</c:v>
                </c:pt>
                <c:pt idx="11">
                  <c:v>191</c:v>
                </c:pt>
                <c:pt idx="12">
                  <c:v>342</c:v>
                </c:pt>
                <c:pt idx="13">
                  <c:v>345</c:v>
                </c:pt>
                <c:pt idx="14">
                  <c:v>306</c:v>
                </c:pt>
                <c:pt idx="15">
                  <c:v>390</c:v>
                </c:pt>
                <c:pt idx="16">
                  <c:v>301</c:v>
                </c:pt>
                <c:pt idx="17">
                  <c:v>317</c:v>
                </c:pt>
                <c:pt idx="18">
                  <c:v>360</c:v>
                </c:pt>
                <c:pt idx="19">
                  <c:v>318</c:v>
                </c:pt>
                <c:pt idx="20">
                  <c:v>336</c:v>
                </c:pt>
                <c:pt idx="21">
                  <c:v>307</c:v>
                </c:pt>
                <c:pt idx="22">
                  <c:v>264</c:v>
                </c:pt>
                <c:pt idx="23">
                  <c:v>294</c:v>
                </c:pt>
                <c:pt idx="24">
                  <c:v>264</c:v>
                </c:pt>
                <c:pt idx="25">
                  <c:v>308</c:v>
                </c:pt>
                <c:pt idx="26">
                  <c:v>311</c:v>
                </c:pt>
                <c:pt idx="27">
                  <c:v>260</c:v>
                </c:pt>
                <c:pt idx="28">
                  <c:v>283</c:v>
                </c:pt>
                <c:pt idx="29">
                  <c:v>335</c:v>
                </c:pt>
                <c:pt idx="30">
                  <c:v>242</c:v>
                </c:pt>
                <c:pt idx="31">
                  <c:v>319</c:v>
                </c:pt>
                <c:pt idx="32">
                  <c:v>278</c:v>
                </c:pt>
                <c:pt idx="33">
                  <c:v>206</c:v>
                </c:pt>
                <c:pt idx="34">
                  <c:v>242</c:v>
                </c:pt>
                <c:pt idx="35">
                  <c:v>225</c:v>
                </c:pt>
                <c:pt idx="36">
                  <c:v>158</c:v>
                </c:pt>
                <c:pt idx="37">
                  <c:v>44</c:v>
                </c:pt>
                <c:pt idx="38">
                  <c:v>30</c:v>
                </c:pt>
                <c:pt idx="39">
                  <c:v>1</c:v>
                </c:pt>
                <c:pt idx="40">
                  <c:v>4</c:v>
                </c:pt>
                <c:pt idx="41">
                  <c:v>-66</c:v>
                </c:pt>
                <c:pt idx="42">
                  <c:v>105</c:v>
                </c:pt>
                <c:pt idx="43">
                  <c:v>113</c:v>
                </c:pt>
                <c:pt idx="44">
                  <c:v>142</c:v>
                </c:pt>
                <c:pt idx="45">
                  <c:v>83</c:v>
                </c:pt>
                <c:pt idx="46">
                  <c:v>53</c:v>
                </c:pt>
                <c:pt idx="47">
                  <c:v>99</c:v>
                </c:pt>
                <c:pt idx="48">
                  <c:v>102</c:v>
                </c:pt>
                <c:pt idx="49">
                  <c:v>76</c:v>
                </c:pt>
                <c:pt idx="50">
                  <c:v>69</c:v>
                </c:pt>
                <c:pt idx="51">
                  <c:v>129</c:v>
                </c:pt>
                <c:pt idx="52">
                  <c:v>54</c:v>
                </c:pt>
                <c:pt idx="53">
                  <c:v>63</c:v>
                </c:pt>
                <c:pt idx="54">
                  <c:v>27</c:v>
                </c:pt>
                <c:pt idx="55">
                  <c:v>112</c:v>
                </c:pt>
                <c:pt idx="56">
                  <c:v>151</c:v>
                </c:pt>
                <c:pt idx="57">
                  <c:v>184</c:v>
                </c:pt>
                <c:pt idx="58">
                  <c:v>178</c:v>
                </c:pt>
                <c:pt idx="59">
                  <c:v>106</c:v>
                </c:pt>
                <c:pt idx="60">
                  <c:v>144</c:v>
                </c:pt>
                <c:pt idx="61">
                  <c:v>193</c:v>
                </c:pt>
                <c:pt idx="62">
                  <c:v>199</c:v>
                </c:pt>
                <c:pt idx="63">
                  <c:v>122</c:v>
                </c:pt>
                <c:pt idx="64">
                  <c:v>179</c:v>
                </c:pt>
                <c:pt idx="65">
                  <c:v>203</c:v>
                </c:pt>
                <c:pt idx="66">
                  <c:v>226</c:v>
                </c:pt>
              </c:numCache>
            </c:numRef>
          </c:val>
          <c:smooth val="0"/>
        </c:ser>
        <c:ser>
          <c:idx val="1"/>
          <c:order val="1"/>
          <c:tx>
            <c:strRef>
              <c:f>Sheet1!$A$3</c:f>
              <c:strCache>
                <c:ptCount val="1"/>
                <c:pt idx="0">
                  <c:v>Current Sit. Index</c:v>
                </c:pt>
              </c:strCache>
            </c:strRef>
          </c:tx>
          <c:marker>
            <c:symbol val="square"/>
            <c:size val="7"/>
          </c:marker>
          <c:cat>
            <c:strRef>
              <c:f>Sheet1!$B$1:$BP$1</c:f>
              <c:strCache>
                <c:ptCount val="67"/>
                <c:pt idx="0">
                  <c:v>N00</c:v>
                </c:pt>
                <c:pt idx="1">
                  <c:v>F01</c:v>
                </c:pt>
                <c:pt idx="2">
                  <c:v>M01</c:v>
                </c:pt>
                <c:pt idx="3">
                  <c:v>Ju01</c:v>
                </c:pt>
                <c:pt idx="4">
                  <c:v>O01</c:v>
                </c:pt>
                <c:pt idx="5">
                  <c:v>N01</c:v>
                </c:pt>
                <c:pt idx="6">
                  <c:v>F02</c:v>
                </c:pt>
                <c:pt idx="7">
                  <c:v>Ap02</c:v>
                </c:pt>
                <c:pt idx="8">
                  <c:v>Au02</c:v>
                </c:pt>
                <c:pt idx="9">
                  <c:v>Oc02</c:v>
                </c:pt>
                <c:pt idx="10">
                  <c:v>N02</c:v>
                </c:pt>
                <c:pt idx="11">
                  <c:v>F03</c:v>
                </c:pt>
                <c:pt idx="12">
                  <c:v>Ap03</c:v>
                </c:pt>
                <c:pt idx="13">
                  <c:v>Ju03</c:v>
                </c:pt>
                <c:pt idx="14">
                  <c:v>Se03</c:v>
                </c:pt>
                <c:pt idx="15">
                  <c:v>De03</c:v>
                </c:pt>
                <c:pt idx="16">
                  <c:v>Ja04</c:v>
                </c:pt>
                <c:pt idx="17">
                  <c:v>Ap04</c:v>
                </c:pt>
                <c:pt idx="18">
                  <c:v>Ju04</c:v>
                </c:pt>
                <c:pt idx="19">
                  <c:v>Se04</c:v>
                </c:pt>
                <c:pt idx="20">
                  <c:v>De04</c:v>
                </c:pt>
                <c:pt idx="21">
                  <c:v>Fe05</c:v>
                </c:pt>
                <c:pt idx="22">
                  <c:v>Ap05</c:v>
                </c:pt>
                <c:pt idx="23">
                  <c:v>Ma05</c:v>
                </c:pt>
                <c:pt idx="24">
                  <c:v>Se05</c:v>
                </c:pt>
                <c:pt idx="25">
                  <c:v>No05</c:v>
                </c:pt>
                <c:pt idx="26">
                  <c:v>Fe06</c:v>
                </c:pt>
                <c:pt idx="27">
                  <c:v>Ap06</c:v>
                </c:pt>
                <c:pt idx="28">
                  <c:v>Ma06</c:v>
                </c:pt>
                <c:pt idx="29">
                  <c:v>Se06</c:v>
                </c:pt>
                <c:pt idx="30">
                  <c:v>De06</c:v>
                </c:pt>
                <c:pt idx="31">
                  <c:v>Fe07</c:v>
                </c:pt>
                <c:pt idx="32">
                  <c:v>Ap07</c:v>
                </c:pt>
                <c:pt idx="33">
                  <c:v>Ma07</c:v>
                </c:pt>
                <c:pt idx="34">
                  <c:v>Se07</c:v>
                </c:pt>
                <c:pt idx="35">
                  <c:v>No07</c:v>
                </c:pt>
                <c:pt idx="36">
                  <c:v>Fe08</c:v>
                </c:pt>
                <c:pt idx="37">
                  <c:v>Ap08</c:v>
                </c:pt>
                <c:pt idx="38">
                  <c:v>Ma08</c:v>
                </c:pt>
                <c:pt idx="39">
                  <c:v>Oc08</c:v>
                </c:pt>
                <c:pt idx="40">
                  <c:v>De08</c:v>
                </c:pt>
                <c:pt idx="41">
                  <c:v>Fe09</c:v>
                </c:pt>
                <c:pt idx="42">
                  <c:v>Ap09</c:v>
                </c:pt>
                <c:pt idx="43">
                  <c:v>Ma09</c:v>
                </c:pt>
                <c:pt idx="44">
                  <c:v>Se09</c:v>
                </c:pt>
                <c:pt idx="45">
                  <c:v>De09</c:v>
                </c:pt>
                <c:pt idx="46">
                  <c:v>Fe10</c:v>
                </c:pt>
                <c:pt idx="47">
                  <c:v>Ap10</c:v>
                </c:pt>
                <c:pt idx="48">
                  <c:v>Ju10</c:v>
                </c:pt>
                <c:pt idx="49">
                  <c:v>Se10</c:v>
                </c:pt>
                <c:pt idx="50">
                  <c:v>De10</c:v>
                </c:pt>
                <c:pt idx="51">
                  <c:v>Fe11</c:v>
                </c:pt>
                <c:pt idx="52">
                  <c:v>Ap11</c:v>
                </c:pt>
                <c:pt idx="53">
                  <c:v>Ma11</c:v>
                </c:pt>
                <c:pt idx="54">
                  <c:v>Se11</c:v>
                </c:pt>
                <c:pt idx="55">
                  <c:v>De11</c:v>
                </c:pt>
                <c:pt idx="56">
                  <c:v>Ja12</c:v>
                </c:pt>
                <c:pt idx="57">
                  <c:v>Ap12</c:v>
                </c:pt>
                <c:pt idx="58">
                  <c:v>Se12</c:v>
                </c:pt>
                <c:pt idx="59">
                  <c:v>No12</c:v>
                </c:pt>
                <c:pt idx="60">
                  <c:v>Fe13</c:v>
                </c:pt>
                <c:pt idx="61">
                  <c:v>Ap13</c:v>
                </c:pt>
                <c:pt idx="62">
                  <c:v>Se13</c:v>
                </c:pt>
                <c:pt idx="63">
                  <c:v>De13</c:v>
                </c:pt>
                <c:pt idx="64">
                  <c:v>Fe14</c:v>
                </c:pt>
                <c:pt idx="65">
                  <c:v>Ma14</c:v>
                </c:pt>
                <c:pt idx="66">
                  <c:v>Se14</c:v>
                </c:pt>
              </c:strCache>
            </c:strRef>
          </c:cat>
          <c:val>
            <c:numRef>
              <c:f>Sheet1!$B$3:$BP$3</c:f>
              <c:numCache>
                <c:formatCode>General</c:formatCode>
                <c:ptCount val="67"/>
                <c:pt idx="0" formatCode="0">
                  <c:v>203.2</c:v>
                </c:pt>
                <c:pt idx="1">
                  <c:v>141.19999999999999</c:v>
                </c:pt>
                <c:pt idx="2">
                  <c:v>132.9</c:v>
                </c:pt>
                <c:pt idx="3">
                  <c:v>114.4</c:v>
                </c:pt>
                <c:pt idx="4">
                  <c:v>73.7</c:v>
                </c:pt>
                <c:pt idx="5">
                  <c:v>55.8</c:v>
                </c:pt>
                <c:pt idx="6">
                  <c:v>46.8</c:v>
                </c:pt>
                <c:pt idx="7">
                  <c:v>53</c:v>
                </c:pt>
                <c:pt idx="8">
                  <c:v>29</c:v>
                </c:pt>
                <c:pt idx="9">
                  <c:v>6</c:v>
                </c:pt>
                <c:pt idx="10" formatCode="0">
                  <c:v>23</c:v>
                </c:pt>
                <c:pt idx="11">
                  <c:v>4</c:v>
                </c:pt>
                <c:pt idx="12">
                  <c:v>28</c:v>
                </c:pt>
                <c:pt idx="13">
                  <c:v>23</c:v>
                </c:pt>
                <c:pt idx="14">
                  <c:v>30</c:v>
                </c:pt>
                <c:pt idx="15">
                  <c:v>72</c:v>
                </c:pt>
                <c:pt idx="16">
                  <c:v>46</c:v>
                </c:pt>
                <c:pt idx="17">
                  <c:v>54</c:v>
                </c:pt>
                <c:pt idx="18">
                  <c:v>81</c:v>
                </c:pt>
                <c:pt idx="19">
                  <c:v>76</c:v>
                </c:pt>
                <c:pt idx="20">
                  <c:v>89</c:v>
                </c:pt>
                <c:pt idx="21">
                  <c:v>96</c:v>
                </c:pt>
                <c:pt idx="22">
                  <c:v>81</c:v>
                </c:pt>
                <c:pt idx="23">
                  <c:v>101</c:v>
                </c:pt>
                <c:pt idx="24">
                  <c:v>100</c:v>
                </c:pt>
                <c:pt idx="25">
                  <c:v>109</c:v>
                </c:pt>
                <c:pt idx="26">
                  <c:v>111</c:v>
                </c:pt>
                <c:pt idx="27">
                  <c:v>118</c:v>
                </c:pt>
                <c:pt idx="28">
                  <c:v>115</c:v>
                </c:pt>
                <c:pt idx="29">
                  <c:v>146</c:v>
                </c:pt>
                <c:pt idx="30">
                  <c:v>102</c:v>
                </c:pt>
                <c:pt idx="31">
                  <c:v>132</c:v>
                </c:pt>
                <c:pt idx="32">
                  <c:v>120</c:v>
                </c:pt>
                <c:pt idx="33">
                  <c:v>94</c:v>
                </c:pt>
                <c:pt idx="34">
                  <c:v>105</c:v>
                </c:pt>
                <c:pt idx="35">
                  <c:v>88</c:v>
                </c:pt>
                <c:pt idx="36">
                  <c:v>49</c:v>
                </c:pt>
                <c:pt idx="37">
                  <c:v>-15</c:v>
                </c:pt>
                <c:pt idx="38">
                  <c:v>-19</c:v>
                </c:pt>
                <c:pt idx="39">
                  <c:v>-57</c:v>
                </c:pt>
                <c:pt idx="40">
                  <c:v>-109</c:v>
                </c:pt>
                <c:pt idx="41">
                  <c:v>-160</c:v>
                </c:pt>
                <c:pt idx="42">
                  <c:v>-121</c:v>
                </c:pt>
                <c:pt idx="43">
                  <c:v>-118</c:v>
                </c:pt>
                <c:pt idx="44">
                  <c:v>-107</c:v>
                </c:pt>
                <c:pt idx="45">
                  <c:v>-101</c:v>
                </c:pt>
                <c:pt idx="46">
                  <c:v>-125</c:v>
                </c:pt>
                <c:pt idx="47">
                  <c:v>-99</c:v>
                </c:pt>
                <c:pt idx="48">
                  <c:v>-86</c:v>
                </c:pt>
                <c:pt idx="49">
                  <c:v>-93</c:v>
                </c:pt>
                <c:pt idx="50">
                  <c:v>-90</c:v>
                </c:pt>
                <c:pt idx="51">
                  <c:v>-74</c:v>
                </c:pt>
                <c:pt idx="52">
                  <c:v>-83</c:v>
                </c:pt>
                <c:pt idx="53">
                  <c:v>-80</c:v>
                </c:pt>
                <c:pt idx="54">
                  <c:v>-86</c:v>
                </c:pt>
                <c:pt idx="55">
                  <c:v>-64</c:v>
                </c:pt>
                <c:pt idx="56">
                  <c:v>-55</c:v>
                </c:pt>
                <c:pt idx="57">
                  <c:v>-24</c:v>
                </c:pt>
                <c:pt idx="58">
                  <c:v>-26</c:v>
                </c:pt>
                <c:pt idx="59">
                  <c:v>-22</c:v>
                </c:pt>
                <c:pt idx="60">
                  <c:v>-16</c:v>
                </c:pt>
                <c:pt idx="61">
                  <c:v>1</c:v>
                </c:pt>
                <c:pt idx="62">
                  <c:v>18</c:v>
                </c:pt>
                <c:pt idx="63">
                  <c:v>3</c:v>
                </c:pt>
                <c:pt idx="64">
                  <c:v>23</c:v>
                </c:pt>
                <c:pt idx="65">
                  <c:v>38</c:v>
                </c:pt>
                <c:pt idx="66">
                  <c:v>48</c:v>
                </c:pt>
              </c:numCache>
            </c:numRef>
          </c:val>
          <c:smooth val="0"/>
        </c:ser>
        <c:ser>
          <c:idx val="2"/>
          <c:order val="2"/>
          <c:tx>
            <c:strRef>
              <c:f>Sheet1!$A$4</c:f>
              <c:strCache>
                <c:ptCount val="1"/>
                <c:pt idx="0">
                  <c:v>Future Exp. Index</c:v>
                </c:pt>
              </c:strCache>
            </c:strRef>
          </c:tx>
          <c:marker>
            <c:spPr>
              <a:solidFill>
                <a:srgbClr val="00B050"/>
              </a:solidFill>
            </c:spPr>
          </c:marker>
          <c:cat>
            <c:strRef>
              <c:f>Sheet1!$B$1:$BP$1</c:f>
              <c:strCache>
                <c:ptCount val="67"/>
                <c:pt idx="0">
                  <c:v>N00</c:v>
                </c:pt>
                <c:pt idx="1">
                  <c:v>F01</c:v>
                </c:pt>
                <c:pt idx="2">
                  <c:v>M01</c:v>
                </c:pt>
                <c:pt idx="3">
                  <c:v>Ju01</c:v>
                </c:pt>
                <c:pt idx="4">
                  <c:v>O01</c:v>
                </c:pt>
                <c:pt idx="5">
                  <c:v>N01</c:v>
                </c:pt>
                <c:pt idx="6">
                  <c:v>F02</c:v>
                </c:pt>
                <c:pt idx="7">
                  <c:v>Ap02</c:v>
                </c:pt>
                <c:pt idx="8">
                  <c:v>Au02</c:v>
                </c:pt>
                <c:pt idx="9">
                  <c:v>Oc02</c:v>
                </c:pt>
                <c:pt idx="10">
                  <c:v>N02</c:v>
                </c:pt>
                <c:pt idx="11">
                  <c:v>F03</c:v>
                </c:pt>
                <c:pt idx="12">
                  <c:v>Ap03</c:v>
                </c:pt>
                <c:pt idx="13">
                  <c:v>Ju03</c:v>
                </c:pt>
                <c:pt idx="14">
                  <c:v>Se03</c:v>
                </c:pt>
                <c:pt idx="15">
                  <c:v>De03</c:v>
                </c:pt>
                <c:pt idx="16">
                  <c:v>Ja04</c:v>
                </c:pt>
                <c:pt idx="17">
                  <c:v>Ap04</c:v>
                </c:pt>
                <c:pt idx="18">
                  <c:v>Ju04</c:v>
                </c:pt>
                <c:pt idx="19">
                  <c:v>Se04</c:v>
                </c:pt>
                <c:pt idx="20">
                  <c:v>De04</c:v>
                </c:pt>
                <c:pt idx="21">
                  <c:v>Fe05</c:v>
                </c:pt>
                <c:pt idx="22">
                  <c:v>Ap05</c:v>
                </c:pt>
                <c:pt idx="23">
                  <c:v>Ma05</c:v>
                </c:pt>
                <c:pt idx="24">
                  <c:v>Se05</c:v>
                </c:pt>
                <c:pt idx="25">
                  <c:v>No05</c:v>
                </c:pt>
                <c:pt idx="26">
                  <c:v>Fe06</c:v>
                </c:pt>
                <c:pt idx="27">
                  <c:v>Ap06</c:v>
                </c:pt>
                <c:pt idx="28">
                  <c:v>Ma06</c:v>
                </c:pt>
                <c:pt idx="29">
                  <c:v>Se06</c:v>
                </c:pt>
                <c:pt idx="30">
                  <c:v>De06</c:v>
                </c:pt>
                <c:pt idx="31">
                  <c:v>Fe07</c:v>
                </c:pt>
                <c:pt idx="32">
                  <c:v>Ap07</c:v>
                </c:pt>
                <c:pt idx="33">
                  <c:v>Ma07</c:v>
                </c:pt>
                <c:pt idx="34">
                  <c:v>Se07</c:v>
                </c:pt>
                <c:pt idx="35">
                  <c:v>No07</c:v>
                </c:pt>
                <c:pt idx="36">
                  <c:v>Fe08</c:v>
                </c:pt>
                <c:pt idx="37">
                  <c:v>Ap08</c:v>
                </c:pt>
                <c:pt idx="38">
                  <c:v>Ma08</c:v>
                </c:pt>
                <c:pt idx="39">
                  <c:v>Oc08</c:v>
                </c:pt>
                <c:pt idx="40">
                  <c:v>De08</c:v>
                </c:pt>
                <c:pt idx="41">
                  <c:v>Fe09</c:v>
                </c:pt>
                <c:pt idx="42">
                  <c:v>Ap09</c:v>
                </c:pt>
                <c:pt idx="43">
                  <c:v>Ma09</c:v>
                </c:pt>
                <c:pt idx="44">
                  <c:v>Se09</c:v>
                </c:pt>
                <c:pt idx="45">
                  <c:v>De09</c:v>
                </c:pt>
                <c:pt idx="46">
                  <c:v>Fe10</c:v>
                </c:pt>
                <c:pt idx="47">
                  <c:v>Ap10</c:v>
                </c:pt>
                <c:pt idx="48">
                  <c:v>Ju10</c:v>
                </c:pt>
                <c:pt idx="49">
                  <c:v>Se10</c:v>
                </c:pt>
                <c:pt idx="50">
                  <c:v>De10</c:v>
                </c:pt>
                <c:pt idx="51">
                  <c:v>Fe11</c:v>
                </c:pt>
                <c:pt idx="52">
                  <c:v>Ap11</c:v>
                </c:pt>
                <c:pt idx="53">
                  <c:v>Ma11</c:v>
                </c:pt>
                <c:pt idx="54">
                  <c:v>Se11</c:v>
                </c:pt>
                <c:pt idx="55">
                  <c:v>De11</c:v>
                </c:pt>
                <c:pt idx="56">
                  <c:v>Ja12</c:v>
                </c:pt>
                <c:pt idx="57">
                  <c:v>Ap12</c:v>
                </c:pt>
                <c:pt idx="58">
                  <c:v>Se12</c:v>
                </c:pt>
                <c:pt idx="59">
                  <c:v>No12</c:v>
                </c:pt>
                <c:pt idx="60">
                  <c:v>Fe13</c:v>
                </c:pt>
                <c:pt idx="61">
                  <c:v>Ap13</c:v>
                </c:pt>
                <c:pt idx="62">
                  <c:v>Se13</c:v>
                </c:pt>
                <c:pt idx="63">
                  <c:v>De13</c:v>
                </c:pt>
                <c:pt idx="64">
                  <c:v>Fe14</c:v>
                </c:pt>
                <c:pt idx="65">
                  <c:v>Ma14</c:v>
                </c:pt>
                <c:pt idx="66">
                  <c:v>Se14</c:v>
                </c:pt>
              </c:strCache>
            </c:strRef>
          </c:cat>
          <c:val>
            <c:numRef>
              <c:f>Sheet1!$B$4:$BP$4</c:f>
              <c:numCache>
                <c:formatCode>General</c:formatCode>
                <c:ptCount val="67"/>
                <c:pt idx="0" formatCode="0">
                  <c:v>73.8</c:v>
                </c:pt>
                <c:pt idx="1">
                  <c:v>60.7</c:v>
                </c:pt>
                <c:pt idx="2">
                  <c:v>83.5</c:v>
                </c:pt>
                <c:pt idx="3">
                  <c:v>79.2</c:v>
                </c:pt>
                <c:pt idx="4">
                  <c:v>105.1</c:v>
                </c:pt>
                <c:pt idx="5">
                  <c:v>136</c:v>
                </c:pt>
                <c:pt idx="6">
                  <c:v>138.69999999999999</c:v>
                </c:pt>
                <c:pt idx="7">
                  <c:v>118</c:v>
                </c:pt>
                <c:pt idx="8">
                  <c:v>102</c:v>
                </c:pt>
                <c:pt idx="9">
                  <c:v>89</c:v>
                </c:pt>
                <c:pt idx="10" formatCode="0">
                  <c:v>113</c:v>
                </c:pt>
                <c:pt idx="11">
                  <c:v>69</c:v>
                </c:pt>
                <c:pt idx="12">
                  <c:v>156</c:v>
                </c:pt>
                <c:pt idx="13">
                  <c:v>159</c:v>
                </c:pt>
                <c:pt idx="14">
                  <c:v>128</c:v>
                </c:pt>
                <c:pt idx="15">
                  <c:v>159</c:v>
                </c:pt>
                <c:pt idx="16">
                  <c:v>124</c:v>
                </c:pt>
                <c:pt idx="17">
                  <c:v>114</c:v>
                </c:pt>
                <c:pt idx="18">
                  <c:v>130</c:v>
                </c:pt>
                <c:pt idx="19">
                  <c:v>100</c:v>
                </c:pt>
                <c:pt idx="20">
                  <c:v>111</c:v>
                </c:pt>
                <c:pt idx="21">
                  <c:v>87</c:v>
                </c:pt>
                <c:pt idx="22">
                  <c:v>79</c:v>
                </c:pt>
                <c:pt idx="23">
                  <c:v>84</c:v>
                </c:pt>
                <c:pt idx="24">
                  <c:v>67</c:v>
                </c:pt>
                <c:pt idx="25">
                  <c:v>108</c:v>
                </c:pt>
                <c:pt idx="26">
                  <c:v>106</c:v>
                </c:pt>
                <c:pt idx="27">
                  <c:v>68</c:v>
                </c:pt>
                <c:pt idx="28">
                  <c:v>110</c:v>
                </c:pt>
                <c:pt idx="29">
                  <c:v>105</c:v>
                </c:pt>
                <c:pt idx="30">
                  <c:v>58</c:v>
                </c:pt>
                <c:pt idx="31">
                  <c:v>89</c:v>
                </c:pt>
                <c:pt idx="32">
                  <c:v>83</c:v>
                </c:pt>
                <c:pt idx="33">
                  <c:v>55</c:v>
                </c:pt>
                <c:pt idx="34">
                  <c:v>79</c:v>
                </c:pt>
                <c:pt idx="35">
                  <c:v>75</c:v>
                </c:pt>
                <c:pt idx="36">
                  <c:v>53</c:v>
                </c:pt>
                <c:pt idx="37">
                  <c:v>24</c:v>
                </c:pt>
                <c:pt idx="38">
                  <c:v>11</c:v>
                </c:pt>
                <c:pt idx="39">
                  <c:v>59</c:v>
                </c:pt>
                <c:pt idx="40">
                  <c:v>56</c:v>
                </c:pt>
                <c:pt idx="41">
                  <c:v>21</c:v>
                </c:pt>
                <c:pt idx="42">
                  <c:v>109</c:v>
                </c:pt>
                <c:pt idx="43">
                  <c:v>110</c:v>
                </c:pt>
                <c:pt idx="44">
                  <c:v>143</c:v>
                </c:pt>
                <c:pt idx="45">
                  <c:v>94</c:v>
                </c:pt>
                <c:pt idx="46">
                  <c:v>106</c:v>
                </c:pt>
                <c:pt idx="47">
                  <c:v>117</c:v>
                </c:pt>
                <c:pt idx="48">
                  <c:v>98</c:v>
                </c:pt>
                <c:pt idx="49">
                  <c:v>99</c:v>
                </c:pt>
                <c:pt idx="50">
                  <c:v>86</c:v>
                </c:pt>
                <c:pt idx="51">
                  <c:v>123</c:v>
                </c:pt>
                <c:pt idx="52">
                  <c:v>75</c:v>
                </c:pt>
                <c:pt idx="53">
                  <c:v>99</c:v>
                </c:pt>
                <c:pt idx="54">
                  <c:v>59</c:v>
                </c:pt>
                <c:pt idx="55">
                  <c:v>97</c:v>
                </c:pt>
                <c:pt idx="56">
                  <c:v>125</c:v>
                </c:pt>
                <c:pt idx="57">
                  <c:v>115</c:v>
                </c:pt>
                <c:pt idx="58">
                  <c:v>112</c:v>
                </c:pt>
                <c:pt idx="59">
                  <c:v>55</c:v>
                </c:pt>
                <c:pt idx="60">
                  <c:v>78</c:v>
                </c:pt>
                <c:pt idx="61">
                  <c:v>97</c:v>
                </c:pt>
                <c:pt idx="62">
                  <c:v>86</c:v>
                </c:pt>
                <c:pt idx="63">
                  <c:v>49</c:v>
                </c:pt>
                <c:pt idx="64">
                  <c:v>85</c:v>
                </c:pt>
                <c:pt idx="65">
                  <c:v>86</c:v>
                </c:pt>
                <c:pt idx="66">
                  <c:v>80</c:v>
                </c:pt>
              </c:numCache>
            </c:numRef>
          </c:val>
          <c:smooth val="0"/>
        </c:ser>
        <c:ser>
          <c:idx val="3"/>
          <c:order val="3"/>
          <c:tx>
            <c:strRef>
              <c:f>Sheet1!$A$5</c:f>
              <c:strCache>
                <c:ptCount val="1"/>
                <c:pt idx="0">
                  <c:v>Purchasing Index</c:v>
                </c:pt>
              </c:strCache>
            </c:strRef>
          </c:tx>
          <c:marker>
            <c:symbol val="circle"/>
            <c:size val="7"/>
            <c:spPr>
              <a:solidFill>
                <a:schemeClr val="accent4"/>
              </a:solidFill>
            </c:spPr>
          </c:marker>
          <c:cat>
            <c:strRef>
              <c:f>Sheet1!$B$1:$BP$1</c:f>
              <c:strCache>
                <c:ptCount val="67"/>
                <c:pt idx="0">
                  <c:v>N00</c:v>
                </c:pt>
                <c:pt idx="1">
                  <c:v>F01</c:v>
                </c:pt>
                <c:pt idx="2">
                  <c:v>M01</c:v>
                </c:pt>
                <c:pt idx="3">
                  <c:v>Ju01</c:v>
                </c:pt>
                <c:pt idx="4">
                  <c:v>O01</c:v>
                </c:pt>
                <c:pt idx="5">
                  <c:v>N01</c:v>
                </c:pt>
                <c:pt idx="6">
                  <c:v>F02</c:v>
                </c:pt>
                <c:pt idx="7">
                  <c:v>Ap02</c:v>
                </c:pt>
                <c:pt idx="8">
                  <c:v>Au02</c:v>
                </c:pt>
                <c:pt idx="9">
                  <c:v>Oc02</c:v>
                </c:pt>
                <c:pt idx="10">
                  <c:v>N02</c:v>
                </c:pt>
                <c:pt idx="11">
                  <c:v>F03</c:v>
                </c:pt>
                <c:pt idx="12">
                  <c:v>Ap03</c:v>
                </c:pt>
                <c:pt idx="13">
                  <c:v>Ju03</c:v>
                </c:pt>
                <c:pt idx="14">
                  <c:v>Se03</c:v>
                </c:pt>
                <c:pt idx="15">
                  <c:v>De03</c:v>
                </c:pt>
                <c:pt idx="16">
                  <c:v>Ja04</c:v>
                </c:pt>
                <c:pt idx="17">
                  <c:v>Ap04</c:v>
                </c:pt>
                <c:pt idx="18">
                  <c:v>Ju04</c:v>
                </c:pt>
                <c:pt idx="19">
                  <c:v>Se04</c:v>
                </c:pt>
                <c:pt idx="20">
                  <c:v>De04</c:v>
                </c:pt>
                <c:pt idx="21">
                  <c:v>Fe05</c:v>
                </c:pt>
                <c:pt idx="22">
                  <c:v>Ap05</c:v>
                </c:pt>
                <c:pt idx="23">
                  <c:v>Ma05</c:v>
                </c:pt>
                <c:pt idx="24">
                  <c:v>Se05</c:v>
                </c:pt>
                <c:pt idx="25">
                  <c:v>No05</c:v>
                </c:pt>
                <c:pt idx="26">
                  <c:v>Fe06</c:v>
                </c:pt>
                <c:pt idx="27">
                  <c:v>Ap06</c:v>
                </c:pt>
                <c:pt idx="28">
                  <c:v>Ma06</c:v>
                </c:pt>
                <c:pt idx="29">
                  <c:v>Se06</c:v>
                </c:pt>
                <c:pt idx="30">
                  <c:v>De06</c:v>
                </c:pt>
                <c:pt idx="31">
                  <c:v>Fe07</c:v>
                </c:pt>
                <c:pt idx="32">
                  <c:v>Ap07</c:v>
                </c:pt>
                <c:pt idx="33">
                  <c:v>Ma07</c:v>
                </c:pt>
                <c:pt idx="34">
                  <c:v>Se07</c:v>
                </c:pt>
                <c:pt idx="35">
                  <c:v>No07</c:v>
                </c:pt>
                <c:pt idx="36">
                  <c:v>Fe08</c:v>
                </c:pt>
                <c:pt idx="37">
                  <c:v>Ap08</c:v>
                </c:pt>
                <c:pt idx="38">
                  <c:v>Ma08</c:v>
                </c:pt>
                <c:pt idx="39">
                  <c:v>Oc08</c:v>
                </c:pt>
                <c:pt idx="40">
                  <c:v>De08</c:v>
                </c:pt>
                <c:pt idx="41">
                  <c:v>Fe09</c:v>
                </c:pt>
                <c:pt idx="42">
                  <c:v>Ap09</c:v>
                </c:pt>
                <c:pt idx="43">
                  <c:v>Ma09</c:v>
                </c:pt>
                <c:pt idx="44">
                  <c:v>Se09</c:v>
                </c:pt>
                <c:pt idx="45">
                  <c:v>De09</c:v>
                </c:pt>
                <c:pt idx="46">
                  <c:v>Fe10</c:v>
                </c:pt>
                <c:pt idx="47">
                  <c:v>Ap10</c:v>
                </c:pt>
                <c:pt idx="48">
                  <c:v>Ju10</c:v>
                </c:pt>
                <c:pt idx="49">
                  <c:v>Se10</c:v>
                </c:pt>
                <c:pt idx="50">
                  <c:v>De10</c:v>
                </c:pt>
                <c:pt idx="51">
                  <c:v>Fe11</c:v>
                </c:pt>
                <c:pt idx="52">
                  <c:v>Ap11</c:v>
                </c:pt>
                <c:pt idx="53">
                  <c:v>Ma11</c:v>
                </c:pt>
                <c:pt idx="54">
                  <c:v>Se11</c:v>
                </c:pt>
                <c:pt idx="55">
                  <c:v>De11</c:v>
                </c:pt>
                <c:pt idx="56">
                  <c:v>Ja12</c:v>
                </c:pt>
                <c:pt idx="57">
                  <c:v>Ap12</c:v>
                </c:pt>
                <c:pt idx="58">
                  <c:v>Se12</c:v>
                </c:pt>
                <c:pt idx="59">
                  <c:v>No12</c:v>
                </c:pt>
                <c:pt idx="60">
                  <c:v>Fe13</c:v>
                </c:pt>
                <c:pt idx="61">
                  <c:v>Ap13</c:v>
                </c:pt>
                <c:pt idx="62">
                  <c:v>Se13</c:v>
                </c:pt>
                <c:pt idx="63">
                  <c:v>De13</c:v>
                </c:pt>
                <c:pt idx="64">
                  <c:v>Fe14</c:v>
                </c:pt>
                <c:pt idx="65">
                  <c:v>Ma14</c:v>
                </c:pt>
                <c:pt idx="66">
                  <c:v>Se14</c:v>
                </c:pt>
              </c:strCache>
            </c:strRef>
          </c:cat>
          <c:val>
            <c:numRef>
              <c:f>Sheet1!$B$5:$BP$5</c:f>
              <c:numCache>
                <c:formatCode>General</c:formatCode>
                <c:ptCount val="67"/>
                <c:pt idx="0" formatCode="0">
                  <c:v>84.1</c:v>
                </c:pt>
                <c:pt idx="1">
                  <c:v>110.4</c:v>
                </c:pt>
                <c:pt idx="2">
                  <c:v>110.2</c:v>
                </c:pt>
                <c:pt idx="3">
                  <c:v>105.7</c:v>
                </c:pt>
                <c:pt idx="4">
                  <c:v>135.69999999999999</c:v>
                </c:pt>
                <c:pt idx="5">
                  <c:v>176.2</c:v>
                </c:pt>
                <c:pt idx="6">
                  <c:v>142.69999999999999</c:v>
                </c:pt>
                <c:pt idx="7">
                  <c:v>155</c:v>
                </c:pt>
                <c:pt idx="8">
                  <c:v>138</c:v>
                </c:pt>
                <c:pt idx="9">
                  <c:v>131</c:v>
                </c:pt>
                <c:pt idx="10" formatCode="0">
                  <c:v>150</c:v>
                </c:pt>
                <c:pt idx="11">
                  <c:v>118</c:v>
                </c:pt>
                <c:pt idx="12">
                  <c:v>158</c:v>
                </c:pt>
                <c:pt idx="13">
                  <c:v>163</c:v>
                </c:pt>
                <c:pt idx="14">
                  <c:v>148</c:v>
                </c:pt>
                <c:pt idx="15">
                  <c:v>159</c:v>
                </c:pt>
                <c:pt idx="16">
                  <c:v>131</c:v>
                </c:pt>
                <c:pt idx="17">
                  <c:v>149</c:v>
                </c:pt>
                <c:pt idx="18">
                  <c:v>149</c:v>
                </c:pt>
                <c:pt idx="19">
                  <c:v>142</c:v>
                </c:pt>
                <c:pt idx="20">
                  <c:v>136</c:v>
                </c:pt>
                <c:pt idx="21">
                  <c:v>124</c:v>
                </c:pt>
                <c:pt idx="22">
                  <c:v>104</c:v>
                </c:pt>
                <c:pt idx="23">
                  <c:v>109</c:v>
                </c:pt>
                <c:pt idx="24">
                  <c:v>97</c:v>
                </c:pt>
                <c:pt idx="25">
                  <c:v>91</c:v>
                </c:pt>
                <c:pt idx="26">
                  <c:v>94</c:v>
                </c:pt>
                <c:pt idx="27">
                  <c:v>74</c:v>
                </c:pt>
                <c:pt idx="28">
                  <c:v>58</c:v>
                </c:pt>
                <c:pt idx="29">
                  <c:v>84</c:v>
                </c:pt>
                <c:pt idx="30">
                  <c:v>82</c:v>
                </c:pt>
                <c:pt idx="31">
                  <c:v>98</c:v>
                </c:pt>
                <c:pt idx="32">
                  <c:v>75</c:v>
                </c:pt>
                <c:pt idx="33">
                  <c:v>57</c:v>
                </c:pt>
                <c:pt idx="34">
                  <c:v>58</c:v>
                </c:pt>
                <c:pt idx="35">
                  <c:v>62</c:v>
                </c:pt>
                <c:pt idx="36">
                  <c:v>56</c:v>
                </c:pt>
                <c:pt idx="37">
                  <c:v>35</c:v>
                </c:pt>
                <c:pt idx="38">
                  <c:v>38</c:v>
                </c:pt>
                <c:pt idx="39">
                  <c:v>-1</c:v>
                </c:pt>
                <c:pt idx="40">
                  <c:v>57</c:v>
                </c:pt>
                <c:pt idx="41">
                  <c:v>73</c:v>
                </c:pt>
                <c:pt idx="42">
                  <c:v>117</c:v>
                </c:pt>
                <c:pt idx="43">
                  <c:v>121</c:v>
                </c:pt>
                <c:pt idx="44">
                  <c:v>106</c:v>
                </c:pt>
                <c:pt idx="45">
                  <c:v>90</c:v>
                </c:pt>
                <c:pt idx="46">
                  <c:v>72</c:v>
                </c:pt>
                <c:pt idx="47">
                  <c:v>81</c:v>
                </c:pt>
                <c:pt idx="48">
                  <c:v>90</c:v>
                </c:pt>
                <c:pt idx="49">
                  <c:v>70</c:v>
                </c:pt>
                <c:pt idx="50">
                  <c:v>73</c:v>
                </c:pt>
                <c:pt idx="51">
                  <c:v>80</c:v>
                </c:pt>
                <c:pt idx="52">
                  <c:v>62</c:v>
                </c:pt>
                <c:pt idx="53">
                  <c:v>44</c:v>
                </c:pt>
                <c:pt idx="54">
                  <c:v>54</c:v>
                </c:pt>
                <c:pt idx="55">
                  <c:v>79</c:v>
                </c:pt>
                <c:pt idx="56">
                  <c:v>81</c:v>
                </c:pt>
                <c:pt idx="57">
                  <c:v>93</c:v>
                </c:pt>
                <c:pt idx="58">
                  <c:v>92</c:v>
                </c:pt>
                <c:pt idx="59">
                  <c:v>73</c:v>
                </c:pt>
                <c:pt idx="60">
                  <c:v>82</c:v>
                </c:pt>
                <c:pt idx="61">
                  <c:v>95</c:v>
                </c:pt>
                <c:pt idx="62">
                  <c:v>95</c:v>
                </c:pt>
                <c:pt idx="63">
                  <c:v>70</c:v>
                </c:pt>
                <c:pt idx="64">
                  <c:v>71</c:v>
                </c:pt>
                <c:pt idx="65">
                  <c:v>79</c:v>
                </c:pt>
                <c:pt idx="66">
                  <c:v>98</c:v>
                </c:pt>
              </c:numCache>
            </c:numRef>
          </c:val>
          <c:smooth val="0"/>
        </c:ser>
        <c:dLbls>
          <c:showLegendKey val="0"/>
          <c:showVal val="0"/>
          <c:showCatName val="0"/>
          <c:showSerName val="0"/>
          <c:showPercent val="0"/>
          <c:showBubbleSize val="0"/>
        </c:dLbls>
        <c:marker val="1"/>
        <c:smooth val="0"/>
        <c:axId val="161669888"/>
        <c:axId val="161671808"/>
      </c:lineChart>
      <c:catAx>
        <c:axId val="161669888"/>
        <c:scaling>
          <c:orientation val="minMax"/>
        </c:scaling>
        <c:delete val="0"/>
        <c:axPos val="b"/>
        <c:majorTickMark val="out"/>
        <c:minorTickMark val="none"/>
        <c:tickLblPos val="nextTo"/>
        <c:txPr>
          <a:bodyPr/>
          <a:lstStyle/>
          <a:p>
            <a:pPr>
              <a:defRPr sz="800">
                <a:latin typeface="Arial Narrow" panose="020B0606020202030204" pitchFamily="34" charset="0"/>
              </a:defRPr>
            </a:pPr>
            <a:endParaRPr lang="en-US"/>
          </a:p>
        </c:txPr>
        <c:crossAx val="161671808"/>
        <c:crosses val="autoZero"/>
        <c:auto val="1"/>
        <c:lblAlgn val="ctr"/>
        <c:lblOffset val="100"/>
        <c:noMultiLvlLbl val="0"/>
      </c:catAx>
      <c:valAx>
        <c:axId val="161671808"/>
        <c:scaling>
          <c:orientation val="minMax"/>
          <c:max val="400"/>
          <c:min val="-200"/>
        </c:scaling>
        <c:delete val="0"/>
        <c:axPos val="l"/>
        <c:majorGridlines/>
        <c:numFmt formatCode="0" sourceLinked="1"/>
        <c:majorTickMark val="out"/>
        <c:minorTickMark val="none"/>
        <c:tickLblPos val="nextTo"/>
        <c:txPr>
          <a:bodyPr/>
          <a:lstStyle/>
          <a:p>
            <a:pPr>
              <a:defRPr sz="1200"/>
            </a:pPr>
            <a:endParaRPr lang="en-US"/>
          </a:p>
        </c:txPr>
        <c:crossAx val="161669888"/>
        <c:crosses val="autoZero"/>
        <c:crossBetween val="between"/>
      </c:valAx>
      <c:spPr>
        <a:ln>
          <a:noFill/>
        </a:ln>
      </c:spPr>
    </c:plotArea>
    <c:legend>
      <c:legendPos val="t"/>
      <c:overlay val="0"/>
      <c:txPr>
        <a:bodyPr/>
        <a:lstStyle/>
        <a:p>
          <a:pPr>
            <a:defRPr sz="14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Jones COB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43BDE-8C21-401B-9082-B71AE6AB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11</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Middle Tennessee Consumer Confidence Index     December</vt:lpstr>
    </vt:vector>
  </TitlesOfParts>
  <Company>MTSU</Company>
  <LinksUpToDate>false</LinksUpToDate>
  <CharactersWithSpaces>13917</CharactersWithSpaces>
  <SharedDoc>false</SharedDoc>
  <HLinks>
    <vt:vector size="18" baseType="variant">
      <vt:variant>
        <vt:i4>5046350</vt:i4>
      </vt:variant>
      <vt:variant>
        <vt:i4>3</vt:i4>
      </vt:variant>
      <vt:variant>
        <vt:i4>0</vt:i4>
      </vt:variant>
      <vt:variant>
        <vt:i4>5</vt:i4>
      </vt:variant>
      <vt:variant>
        <vt:lpwstr>http://www.mtsu.edu/~consumer</vt:lpwstr>
      </vt:variant>
      <vt:variant>
        <vt:lpwstr/>
      </vt:variant>
      <vt:variant>
        <vt:i4>393295</vt:i4>
      </vt:variant>
      <vt:variant>
        <vt:i4>0</vt:i4>
      </vt:variant>
      <vt:variant>
        <vt:i4>0</vt:i4>
      </vt:variant>
      <vt:variant>
        <vt:i4>5</vt:i4>
      </vt:variant>
      <vt:variant>
        <vt:lpwstr>http://www.conference-board.org/</vt:lpwstr>
      </vt:variant>
      <vt:variant>
        <vt:lpwstr/>
      </vt:variant>
      <vt:variant>
        <vt:i4>1769545</vt:i4>
      </vt:variant>
      <vt:variant>
        <vt:i4>0</vt:i4>
      </vt:variant>
      <vt:variant>
        <vt:i4>0</vt:i4>
      </vt:variant>
      <vt:variant>
        <vt:i4>5</vt:i4>
      </vt:variant>
      <vt:variant>
        <vt:lpwstr>http://www.conference-board.com/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Tennessee Consumer Confidence Index     December</dc:title>
  <dc:creator>MTSU</dc:creator>
  <cp:lastModifiedBy>Tim Graeff</cp:lastModifiedBy>
  <cp:revision>62</cp:revision>
  <cp:lastPrinted>2014-09-11T16:30:00Z</cp:lastPrinted>
  <dcterms:created xsi:type="dcterms:W3CDTF">2014-09-09T17:30:00Z</dcterms:created>
  <dcterms:modified xsi:type="dcterms:W3CDTF">2014-09-11T16:44:00Z</dcterms:modified>
</cp:coreProperties>
</file>